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B9" w:rsidRDefault="00F924FF" w:rsidP="00B16072">
      <w:pPr>
        <w:pStyle w:val="Ttulo"/>
        <w:tabs>
          <w:tab w:val="left" w:pos="653"/>
        </w:tabs>
        <w:rPr>
          <w:u w:val="single"/>
        </w:rPr>
      </w:pPr>
      <w:r w:rsidRPr="003E28B1">
        <w:rPr>
          <w:u w:val="single"/>
        </w:rPr>
        <w:t>RELATÓRIO E</w:t>
      </w:r>
      <w:proofErr w:type="gramStart"/>
      <w:r w:rsidR="00B16072" w:rsidRPr="003E28B1">
        <w:rPr>
          <w:u w:val="single"/>
        </w:rPr>
        <w:t xml:space="preserve"> </w:t>
      </w:r>
      <w:r w:rsidRPr="003E28B1">
        <w:rPr>
          <w:u w:val="single"/>
        </w:rPr>
        <w:t xml:space="preserve"> </w:t>
      </w:r>
      <w:proofErr w:type="gramEnd"/>
      <w:r w:rsidRPr="003E28B1">
        <w:rPr>
          <w:u w:val="single"/>
        </w:rPr>
        <w:t>PARECER</w:t>
      </w:r>
      <w:r w:rsidR="00B16072" w:rsidRPr="003E28B1">
        <w:rPr>
          <w:u w:val="single"/>
        </w:rPr>
        <w:t xml:space="preserve">   </w:t>
      </w:r>
    </w:p>
    <w:p w:rsidR="00F924FF" w:rsidRPr="003E28B1" w:rsidRDefault="00F924FF" w:rsidP="00B16072">
      <w:pPr>
        <w:pStyle w:val="Ttulo"/>
        <w:tabs>
          <w:tab w:val="left" w:pos="653"/>
        </w:tabs>
        <w:rPr>
          <w:u w:val="single"/>
        </w:rPr>
      </w:pPr>
      <w:r w:rsidRPr="003E28B1">
        <w:rPr>
          <w:u w:val="single"/>
        </w:rPr>
        <w:t>CONTROLE INTERNO</w:t>
      </w:r>
      <w:proofErr w:type="gramStart"/>
      <w:r w:rsidRPr="003E28B1">
        <w:rPr>
          <w:u w:val="single"/>
        </w:rPr>
        <w:t xml:space="preserve">  </w:t>
      </w:r>
      <w:proofErr w:type="gramEnd"/>
      <w:r w:rsidRPr="003E28B1">
        <w:rPr>
          <w:u w:val="single"/>
        </w:rPr>
        <w:t xml:space="preserve">EXERCÍCIO </w:t>
      </w:r>
      <w:r w:rsidR="00A906F9">
        <w:rPr>
          <w:u w:val="single"/>
        </w:rPr>
        <w:t>201</w:t>
      </w:r>
      <w:r w:rsidR="007C0F03">
        <w:rPr>
          <w:u w:val="single"/>
        </w:rPr>
        <w:t>6</w:t>
      </w:r>
      <w:r w:rsidR="00A906F9">
        <w:rPr>
          <w:u w:val="single"/>
        </w:rPr>
        <w:t>.</w:t>
      </w:r>
    </w:p>
    <w:p w:rsidR="008A10EF" w:rsidRPr="006D4D5B" w:rsidRDefault="008A10EF" w:rsidP="00241B7D">
      <w:pPr>
        <w:pStyle w:val="Ttulo"/>
        <w:tabs>
          <w:tab w:val="left" w:pos="653"/>
        </w:tabs>
        <w:spacing w:before="0"/>
      </w:pPr>
    </w:p>
    <w:p w:rsidR="00C54870" w:rsidRDefault="00900690" w:rsidP="00241B7D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B0CB4">
        <w:rPr>
          <w:sz w:val="24"/>
          <w:szCs w:val="24"/>
        </w:rPr>
        <w:t>Na qualidade de responsáveis pelo órgão de Controle Interno do Município de</w:t>
      </w:r>
      <w:proofErr w:type="gramStart"/>
      <w:r w:rsidRPr="009B0CB4">
        <w:rPr>
          <w:sz w:val="24"/>
          <w:szCs w:val="24"/>
        </w:rPr>
        <w:t xml:space="preserve">  </w:t>
      </w:r>
      <w:proofErr w:type="gramEnd"/>
      <w:r w:rsidRPr="009B0CB4">
        <w:rPr>
          <w:sz w:val="24"/>
          <w:szCs w:val="24"/>
        </w:rPr>
        <w:t>Porto Xavier</w:t>
      </w:r>
      <w:r w:rsidR="00A906F9">
        <w:rPr>
          <w:sz w:val="24"/>
          <w:szCs w:val="24"/>
        </w:rPr>
        <w:t>-</w:t>
      </w:r>
      <w:proofErr w:type="spellStart"/>
      <w:r w:rsidR="00A906F9">
        <w:rPr>
          <w:sz w:val="24"/>
          <w:szCs w:val="24"/>
        </w:rPr>
        <w:t>Rs</w:t>
      </w:r>
      <w:proofErr w:type="spellEnd"/>
      <w:r w:rsidR="00A906F9">
        <w:rPr>
          <w:sz w:val="24"/>
          <w:szCs w:val="24"/>
        </w:rPr>
        <w:t>,</w:t>
      </w:r>
      <w:r w:rsidRPr="009B0CB4">
        <w:rPr>
          <w:sz w:val="24"/>
          <w:szCs w:val="24"/>
        </w:rPr>
        <w:t xml:space="preserve"> vimos apresentar Relatório e Parecer  sobre as contas do Poder Executivo, relativos ao exercício de 201</w:t>
      </w:r>
      <w:r w:rsidR="007C0F03">
        <w:rPr>
          <w:sz w:val="24"/>
          <w:szCs w:val="24"/>
        </w:rPr>
        <w:t>6</w:t>
      </w:r>
      <w:r w:rsidRPr="009B0CB4">
        <w:rPr>
          <w:sz w:val="24"/>
          <w:szCs w:val="24"/>
        </w:rPr>
        <w:t xml:space="preserve">, em conformidade com o previsto no art. 74 da Constituição da República, artigo 59 da Lei Complementar nº 101, de 04 de maio de 2000, </w:t>
      </w:r>
      <w:r w:rsidR="001F4B53" w:rsidRPr="009B0CB4">
        <w:rPr>
          <w:sz w:val="24"/>
          <w:szCs w:val="24"/>
        </w:rPr>
        <w:t>Resolução nº 962, de 19 de dezembro de 2012</w:t>
      </w:r>
      <w:r w:rsidR="001F4B53">
        <w:rPr>
          <w:sz w:val="24"/>
          <w:szCs w:val="24"/>
        </w:rPr>
        <w:t>,</w:t>
      </w:r>
      <w:r w:rsidR="001F4B53" w:rsidRPr="001F4B53">
        <w:rPr>
          <w:sz w:val="24"/>
          <w:szCs w:val="24"/>
        </w:rPr>
        <w:t xml:space="preserve"> </w:t>
      </w:r>
      <w:r w:rsidR="001F4B53" w:rsidRPr="009B0CB4">
        <w:rPr>
          <w:sz w:val="24"/>
          <w:szCs w:val="24"/>
        </w:rPr>
        <w:t>nos termos do disposto no art. 2º, inciso I, letra</w:t>
      </w:r>
      <w:r w:rsidR="001F4B53">
        <w:rPr>
          <w:sz w:val="24"/>
          <w:szCs w:val="24"/>
        </w:rPr>
        <w:t xml:space="preserve"> “b” e </w:t>
      </w:r>
      <w:r w:rsidR="00810963">
        <w:rPr>
          <w:sz w:val="24"/>
          <w:szCs w:val="24"/>
        </w:rPr>
        <w:t xml:space="preserve"> Resolução nº 1052/15 </w:t>
      </w:r>
      <w:r w:rsidR="007C0F03">
        <w:rPr>
          <w:sz w:val="24"/>
          <w:szCs w:val="24"/>
        </w:rPr>
        <w:t xml:space="preserve"> art.2º, inciso </w:t>
      </w:r>
      <w:r w:rsidR="001F4B53">
        <w:rPr>
          <w:sz w:val="24"/>
          <w:szCs w:val="24"/>
        </w:rPr>
        <w:t>II</w:t>
      </w:r>
      <w:r w:rsidR="007C0F03">
        <w:rPr>
          <w:sz w:val="24"/>
          <w:szCs w:val="24"/>
        </w:rPr>
        <w:t xml:space="preserve">I, letra “b” </w:t>
      </w:r>
      <w:r w:rsidRPr="009B0CB4">
        <w:rPr>
          <w:sz w:val="24"/>
          <w:szCs w:val="24"/>
        </w:rPr>
        <w:t>, do Tribunal de Contas do Estado</w:t>
      </w:r>
      <w:r w:rsidR="00810963">
        <w:rPr>
          <w:sz w:val="24"/>
          <w:szCs w:val="24"/>
        </w:rPr>
        <w:t>.</w:t>
      </w:r>
    </w:p>
    <w:p w:rsidR="008E79C2" w:rsidRDefault="008E79C2" w:rsidP="00F476DD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D96B55">
        <w:rPr>
          <w:b/>
          <w:color w:val="000000"/>
          <w:sz w:val="24"/>
          <w:szCs w:val="24"/>
        </w:rPr>
        <w:t>1-</w:t>
      </w:r>
      <w:r>
        <w:rPr>
          <w:color w:val="000000"/>
          <w:sz w:val="24"/>
          <w:szCs w:val="24"/>
        </w:rPr>
        <w:t xml:space="preserve"> Destaca-se, inicialmente, que o órgão de controle interno do Município foi instituído pela Lei Municipal nº 2.146/11 e 2.162/11, regulamentada pelo Decreto nº 2.331/11, tendo sido designados seus membros pelas Portarias </w:t>
      </w:r>
      <w:proofErr w:type="spellStart"/>
      <w:r>
        <w:rPr>
          <w:color w:val="000000"/>
          <w:sz w:val="24"/>
          <w:szCs w:val="24"/>
        </w:rPr>
        <w:t>nºs</w:t>
      </w:r>
      <w:proofErr w:type="spellEnd"/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9.454/15, </w:t>
      </w:r>
      <w:r w:rsidR="007C0F03">
        <w:rPr>
          <w:color w:val="000000"/>
          <w:sz w:val="24"/>
          <w:szCs w:val="24"/>
        </w:rPr>
        <w:t xml:space="preserve"> 062/2017.</w:t>
      </w:r>
    </w:p>
    <w:p w:rsidR="007C0F03" w:rsidRDefault="007C0F03" w:rsidP="00F476DD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</w:p>
    <w:p w:rsidR="002B6C21" w:rsidRPr="005C6253" w:rsidRDefault="008E79C2" w:rsidP="002B6C21">
      <w:pPr>
        <w:autoSpaceDE w:val="0"/>
        <w:autoSpaceDN w:val="0"/>
        <w:adjustRightInd w:val="0"/>
        <w:ind w:firstLine="1134"/>
        <w:jc w:val="both"/>
        <w:rPr>
          <w:sz w:val="24"/>
          <w:szCs w:val="24"/>
        </w:rPr>
      </w:pPr>
      <w:r w:rsidRPr="00F4094C">
        <w:rPr>
          <w:b/>
          <w:sz w:val="24"/>
          <w:szCs w:val="24"/>
        </w:rPr>
        <w:t>2</w:t>
      </w:r>
      <w:r w:rsidRPr="00F4094C">
        <w:rPr>
          <w:sz w:val="24"/>
          <w:szCs w:val="24"/>
        </w:rPr>
        <w:t xml:space="preserve">. </w:t>
      </w:r>
      <w:r w:rsidRPr="005C6253">
        <w:rPr>
          <w:sz w:val="24"/>
          <w:szCs w:val="24"/>
        </w:rPr>
        <w:t>A Comissão desenvolveu suas atividades da seguinte forma: Foram realizadas, (</w:t>
      </w:r>
      <w:r w:rsidR="004F5F44" w:rsidRPr="005C6253">
        <w:rPr>
          <w:sz w:val="24"/>
          <w:szCs w:val="24"/>
        </w:rPr>
        <w:t>12</w:t>
      </w:r>
      <w:r w:rsidRPr="005C6253">
        <w:rPr>
          <w:sz w:val="24"/>
          <w:szCs w:val="24"/>
        </w:rPr>
        <w:t>) reuniões, com a mesma quantia de atas, foram feitos (</w:t>
      </w:r>
      <w:r w:rsidR="004F5F44" w:rsidRPr="005C6253">
        <w:rPr>
          <w:sz w:val="24"/>
          <w:szCs w:val="24"/>
        </w:rPr>
        <w:t>23)</w:t>
      </w:r>
      <w:r w:rsidRPr="005C6253">
        <w:rPr>
          <w:sz w:val="24"/>
          <w:szCs w:val="24"/>
        </w:rPr>
        <w:t xml:space="preserve"> vinte e</w:t>
      </w:r>
      <w:r w:rsidR="004F5F44" w:rsidRPr="005C6253">
        <w:rPr>
          <w:sz w:val="24"/>
          <w:szCs w:val="24"/>
        </w:rPr>
        <w:t xml:space="preserve"> três</w:t>
      </w:r>
      <w:proofErr w:type="gramStart"/>
      <w:r w:rsidR="004F5F44" w:rsidRPr="005C6253">
        <w:rPr>
          <w:sz w:val="24"/>
          <w:szCs w:val="24"/>
        </w:rPr>
        <w:t xml:space="preserve"> </w:t>
      </w:r>
      <w:r w:rsidR="00C728E1" w:rsidRPr="005C6253">
        <w:rPr>
          <w:sz w:val="24"/>
          <w:szCs w:val="24"/>
        </w:rPr>
        <w:t xml:space="preserve"> </w:t>
      </w:r>
      <w:proofErr w:type="gramEnd"/>
      <w:r w:rsidRPr="005C6253">
        <w:rPr>
          <w:sz w:val="24"/>
          <w:szCs w:val="24"/>
        </w:rPr>
        <w:t xml:space="preserve">relatórios e auditorias nas Secretarias da </w:t>
      </w:r>
      <w:r w:rsidR="00C728E1" w:rsidRPr="005C6253">
        <w:rPr>
          <w:sz w:val="24"/>
          <w:szCs w:val="24"/>
        </w:rPr>
        <w:t>Administração</w:t>
      </w:r>
      <w:r w:rsidR="005C6253">
        <w:rPr>
          <w:sz w:val="24"/>
          <w:szCs w:val="24"/>
        </w:rPr>
        <w:t xml:space="preserve"> Municipal</w:t>
      </w:r>
      <w:r w:rsidR="00C728E1" w:rsidRPr="005C6253">
        <w:rPr>
          <w:sz w:val="24"/>
          <w:szCs w:val="24"/>
        </w:rPr>
        <w:t xml:space="preserve">, </w:t>
      </w:r>
      <w:r w:rsidRPr="005C6253">
        <w:rPr>
          <w:sz w:val="24"/>
          <w:szCs w:val="24"/>
        </w:rPr>
        <w:t>(</w:t>
      </w:r>
      <w:r w:rsidR="004F5F44" w:rsidRPr="005C6253">
        <w:rPr>
          <w:sz w:val="24"/>
          <w:szCs w:val="24"/>
        </w:rPr>
        <w:t>13</w:t>
      </w:r>
      <w:r w:rsidRPr="005C6253">
        <w:rPr>
          <w:sz w:val="24"/>
          <w:szCs w:val="24"/>
        </w:rPr>
        <w:t xml:space="preserve">) </w:t>
      </w:r>
      <w:r w:rsidR="004F5F44" w:rsidRPr="005C6253">
        <w:rPr>
          <w:sz w:val="24"/>
          <w:szCs w:val="24"/>
        </w:rPr>
        <w:t xml:space="preserve"> treze </w:t>
      </w:r>
      <w:r w:rsidRPr="005C6253">
        <w:rPr>
          <w:sz w:val="24"/>
          <w:szCs w:val="24"/>
        </w:rPr>
        <w:t xml:space="preserve"> </w:t>
      </w:r>
      <w:r w:rsidR="00C728E1" w:rsidRPr="005C6253">
        <w:rPr>
          <w:sz w:val="24"/>
          <w:szCs w:val="24"/>
        </w:rPr>
        <w:t>o</w:t>
      </w:r>
      <w:r w:rsidRPr="005C6253">
        <w:rPr>
          <w:sz w:val="24"/>
          <w:szCs w:val="24"/>
        </w:rPr>
        <w:t>fícios,</w:t>
      </w:r>
      <w:r w:rsidR="00C728E1" w:rsidRPr="005C6253">
        <w:rPr>
          <w:sz w:val="24"/>
          <w:szCs w:val="24"/>
        </w:rPr>
        <w:t xml:space="preserve"> </w:t>
      </w:r>
      <w:r w:rsidRPr="005C6253">
        <w:rPr>
          <w:sz w:val="24"/>
          <w:szCs w:val="24"/>
        </w:rPr>
        <w:t>(0</w:t>
      </w:r>
      <w:r w:rsidR="005C6253" w:rsidRPr="005C6253">
        <w:rPr>
          <w:sz w:val="24"/>
          <w:szCs w:val="24"/>
        </w:rPr>
        <w:t>1</w:t>
      </w:r>
      <w:r w:rsidRPr="005C6253">
        <w:rPr>
          <w:sz w:val="24"/>
          <w:szCs w:val="24"/>
        </w:rPr>
        <w:t xml:space="preserve">) </w:t>
      </w:r>
      <w:r w:rsidR="005C6253" w:rsidRPr="005C6253">
        <w:rPr>
          <w:sz w:val="24"/>
          <w:szCs w:val="24"/>
        </w:rPr>
        <w:t>parecer</w:t>
      </w:r>
      <w:r w:rsidRPr="005C6253">
        <w:rPr>
          <w:sz w:val="24"/>
          <w:szCs w:val="24"/>
        </w:rPr>
        <w:t xml:space="preserve">  referente </w:t>
      </w:r>
      <w:r w:rsidR="00C728E1" w:rsidRPr="005C6253">
        <w:rPr>
          <w:sz w:val="24"/>
          <w:szCs w:val="24"/>
        </w:rPr>
        <w:t>à</w:t>
      </w:r>
      <w:r w:rsidRPr="005C6253">
        <w:rPr>
          <w:sz w:val="24"/>
          <w:szCs w:val="24"/>
        </w:rPr>
        <w:t xml:space="preserve"> prestação de contas de </w:t>
      </w:r>
      <w:r w:rsidR="00C728E1" w:rsidRPr="005C6253">
        <w:rPr>
          <w:sz w:val="24"/>
          <w:szCs w:val="24"/>
        </w:rPr>
        <w:t>convênios</w:t>
      </w:r>
      <w:r w:rsidRPr="005C6253">
        <w:rPr>
          <w:sz w:val="24"/>
          <w:szCs w:val="24"/>
        </w:rPr>
        <w:t>, (</w:t>
      </w:r>
      <w:r w:rsidR="005C6253" w:rsidRPr="005C6253">
        <w:rPr>
          <w:sz w:val="24"/>
          <w:szCs w:val="24"/>
        </w:rPr>
        <w:t>4</w:t>
      </w:r>
      <w:r w:rsidRPr="005C6253">
        <w:rPr>
          <w:sz w:val="24"/>
          <w:szCs w:val="24"/>
        </w:rPr>
        <w:t xml:space="preserve">) </w:t>
      </w:r>
      <w:r w:rsidR="005C6253" w:rsidRPr="005C6253">
        <w:rPr>
          <w:sz w:val="24"/>
          <w:szCs w:val="24"/>
        </w:rPr>
        <w:t>quatro</w:t>
      </w:r>
      <w:r w:rsidRPr="005C6253">
        <w:rPr>
          <w:sz w:val="24"/>
          <w:szCs w:val="24"/>
        </w:rPr>
        <w:t xml:space="preserve"> </w:t>
      </w:r>
      <w:r w:rsidR="00C728E1" w:rsidRPr="005C6253">
        <w:rPr>
          <w:sz w:val="24"/>
          <w:szCs w:val="24"/>
        </w:rPr>
        <w:t xml:space="preserve">recomendações, </w:t>
      </w:r>
      <w:r w:rsidRPr="005C6253">
        <w:rPr>
          <w:sz w:val="24"/>
          <w:szCs w:val="24"/>
        </w:rPr>
        <w:t>(1</w:t>
      </w:r>
      <w:r w:rsidR="005C6253" w:rsidRPr="005C6253">
        <w:rPr>
          <w:sz w:val="24"/>
          <w:szCs w:val="24"/>
        </w:rPr>
        <w:t>7</w:t>
      </w:r>
      <w:r w:rsidRPr="005C6253">
        <w:rPr>
          <w:sz w:val="24"/>
          <w:szCs w:val="24"/>
        </w:rPr>
        <w:t>)</w:t>
      </w:r>
      <w:r w:rsidR="00C728E1" w:rsidRPr="005C6253">
        <w:rPr>
          <w:sz w:val="24"/>
          <w:szCs w:val="24"/>
        </w:rPr>
        <w:t xml:space="preserve"> </w:t>
      </w:r>
      <w:r w:rsidR="005C6253" w:rsidRPr="005C6253">
        <w:rPr>
          <w:sz w:val="24"/>
          <w:szCs w:val="24"/>
        </w:rPr>
        <w:t>dezessete</w:t>
      </w:r>
      <w:r w:rsidRPr="005C6253">
        <w:rPr>
          <w:sz w:val="24"/>
          <w:szCs w:val="24"/>
        </w:rPr>
        <w:t xml:space="preserve"> comunicação interna </w:t>
      </w:r>
      <w:r w:rsidR="00C728E1" w:rsidRPr="005C6253">
        <w:rPr>
          <w:sz w:val="24"/>
          <w:szCs w:val="24"/>
        </w:rPr>
        <w:t>aos</w:t>
      </w:r>
      <w:r w:rsidRPr="005C6253">
        <w:rPr>
          <w:sz w:val="24"/>
          <w:szCs w:val="24"/>
        </w:rPr>
        <w:t xml:space="preserve"> setores da Administração, (01) Auditoria ao legislativo, respondido (0</w:t>
      </w:r>
      <w:r w:rsidR="005C6253">
        <w:rPr>
          <w:sz w:val="24"/>
          <w:szCs w:val="24"/>
        </w:rPr>
        <w:t>5</w:t>
      </w:r>
      <w:r w:rsidRPr="005C6253">
        <w:rPr>
          <w:sz w:val="24"/>
          <w:szCs w:val="24"/>
        </w:rPr>
        <w:t>)</w:t>
      </w:r>
      <w:r w:rsidR="005C6253">
        <w:rPr>
          <w:sz w:val="24"/>
          <w:szCs w:val="24"/>
        </w:rPr>
        <w:t xml:space="preserve"> cinco</w:t>
      </w:r>
      <w:r w:rsidRPr="005C6253">
        <w:rPr>
          <w:sz w:val="24"/>
          <w:szCs w:val="24"/>
        </w:rPr>
        <w:t xml:space="preserve"> </w:t>
      </w:r>
      <w:r w:rsidR="00C728E1" w:rsidRPr="005C6253">
        <w:rPr>
          <w:sz w:val="24"/>
          <w:szCs w:val="24"/>
        </w:rPr>
        <w:t>questionário</w:t>
      </w:r>
      <w:r w:rsidRPr="005C6253">
        <w:rPr>
          <w:sz w:val="24"/>
          <w:szCs w:val="24"/>
        </w:rPr>
        <w:t xml:space="preserve"> ao TCE,</w:t>
      </w:r>
      <w:r w:rsidR="00C728E1" w:rsidRPr="005C6253">
        <w:rPr>
          <w:sz w:val="24"/>
          <w:szCs w:val="24"/>
        </w:rPr>
        <w:t xml:space="preserve"> </w:t>
      </w:r>
      <w:r w:rsidRPr="005C6253">
        <w:rPr>
          <w:sz w:val="24"/>
          <w:szCs w:val="24"/>
        </w:rPr>
        <w:t>(</w:t>
      </w:r>
      <w:r w:rsidR="005C6253" w:rsidRPr="005C6253">
        <w:rPr>
          <w:sz w:val="24"/>
          <w:szCs w:val="24"/>
        </w:rPr>
        <w:t>15</w:t>
      </w:r>
      <w:r w:rsidRPr="005C6253">
        <w:rPr>
          <w:sz w:val="24"/>
          <w:szCs w:val="24"/>
        </w:rPr>
        <w:t>)</w:t>
      </w:r>
      <w:r w:rsidR="00C728E1" w:rsidRPr="005C6253">
        <w:rPr>
          <w:sz w:val="24"/>
          <w:szCs w:val="24"/>
        </w:rPr>
        <w:t xml:space="preserve"> </w:t>
      </w:r>
      <w:r w:rsidR="005C6253" w:rsidRPr="005C6253">
        <w:rPr>
          <w:sz w:val="24"/>
          <w:szCs w:val="24"/>
        </w:rPr>
        <w:t>quinze</w:t>
      </w:r>
      <w:r w:rsidRPr="005C6253">
        <w:rPr>
          <w:sz w:val="24"/>
          <w:szCs w:val="24"/>
        </w:rPr>
        <w:t xml:space="preserve"> </w:t>
      </w:r>
      <w:r w:rsidR="00C728E1" w:rsidRPr="005C6253">
        <w:rPr>
          <w:sz w:val="24"/>
          <w:szCs w:val="24"/>
        </w:rPr>
        <w:t xml:space="preserve">manifestação </w:t>
      </w:r>
      <w:r w:rsidRPr="005C6253">
        <w:rPr>
          <w:sz w:val="24"/>
          <w:szCs w:val="24"/>
        </w:rPr>
        <w:t xml:space="preserve">referente </w:t>
      </w:r>
      <w:r w:rsidR="00C728E1" w:rsidRPr="005C6253">
        <w:rPr>
          <w:sz w:val="24"/>
          <w:szCs w:val="24"/>
        </w:rPr>
        <w:t>às</w:t>
      </w:r>
      <w:r w:rsidRPr="005C6253">
        <w:rPr>
          <w:sz w:val="24"/>
          <w:szCs w:val="24"/>
        </w:rPr>
        <w:t xml:space="preserve"> solicitações de informações</w:t>
      </w:r>
      <w:r w:rsidR="00C728E1" w:rsidRPr="005C6253">
        <w:rPr>
          <w:sz w:val="24"/>
          <w:szCs w:val="24"/>
        </w:rPr>
        <w:t xml:space="preserve"> </w:t>
      </w:r>
      <w:r w:rsidRPr="005C6253">
        <w:rPr>
          <w:sz w:val="24"/>
          <w:szCs w:val="24"/>
        </w:rPr>
        <w:t>do TCE, foram feitas (0</w:t>
      </w:r>
      <w:r w:rsidR="00083451" w:rsidRPr="005C6253">
        <w:rPr>
          <w:sz w:val="24"/>
          <w:szCs w:val="24"/>
        </w:rPr>
        <w:t>2</w:t>
      </w:r>
      <w:r w:rsidRPr="005C6253">
        <w:rPr>
          <w:sz w:val="24"/>
          <w:szCs w:val="24"/>
        </w:rPr>
        <w:t>)</w:t>
      </w:r>
      <w:r w:rsidR="00C728E1" w:rsidRPr="005C6253">
        <w:rPr>
          <w:sz w:val="24"/>
          <w:szCs w:val="24"/>
        </w:rPr>
        <w:t xml:space="preserve"> </w:t>
      </w:r>
      <w:r w:rsidR="00083451" w:rsidRPr="005C6253">
        <w:rPr>
          <w:sz w:val="24"/>
          <w:szCs w:val="24"/>
        </w:rPr>
        <w:t>duas</w:t>
      </w:r>
      <w:r w:rsidR="00C728E1" w:rsidRPr="005C6253">
        <w:rPr>
          <w:sz w:val="24"/>
          <w:szCs w:val="24"/>
        </w:rPr>
        <w:t xml:space="preserve"> </w:t>
      </w:r>
      <w:r w:rsidRPr="005C6253">
        <w:rPr>
          <w:sz w:val="24"/>
          <w:szCs w:val="24"/>
        </w:rPr>
        <w:t xml:space="preserve">reuniões com membros dos </w:t>
      </w:r>
      <w:r w:rsidR="00C728E1" w:rsidRPr="005C6253">
        <w:rPr>
          <w:sz w:val="24"/>
          <w:szCs w:val="24"/>
        </w:rPr>
        <w:t>Órgãos</w:t>
      </w:r>
      <w:r w:rsidRPr="005C6253">
        <w:rPr>
          <w:sz w:val="24"/>
          <w:szCs w:val="24"/>
        </w:rPr>
        <w:t xml:space="preserve"> Setoriais. </w:t>
      </w:r>
      <w:r w:rsidR="002B6C21" w:rsidRPr="005C6253">
        <w:rPr>
          <w:sz w:val="24"/>
          <w:szCs w:val="24"/>
        </w:rPr>
        <w:t>As recomendações todas foram aprovadas pelo senhor prefeito, mas nem todas posta em pratica pelos secretários e ou responsáveis.</w:t>
      </w:r>
    </w:p>
    <w:p w:rsidR="00F924FF" w:rsidRPr="007770FA" w:rsidRDefault="00F924FF" w:rsidP="001003F9">
      <w:pPr>
        <w:tabs>
          <w:tab w:val="left" w:pos="1134"/>
        </w:tabs>
        <w:spacing w:before="120" w:line="360" w:lineRule="auto"/>
        <w:rPr>
          <w:b/>
          <w:sz w:val="22"/>
          <w:szCs w:val="19"/>
        </w:rPr>
      </w:pPr>
      <w:r w:rsidRPr="007770FA">
        <w:rPr>
          <w:b/>
          <w:sz w:val="22"/>
          <w:szCs w:val="19"/>
        </w:rPr>
        <w:t>EXECUÇÃO ORÇAMENTÁRIA:</w:t>
      </w:r>
    </w:p>
    <w:p w:rsidR="00F924FF" w:rsidRPr="009B0CB4" w:rsidRDefault="00430DBB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D96B55">
        <w:rPr>
          <w:b/>
          <w:sz w:val="24"/>
          <w:szCs w:val="24"/>
        </w:rPr>
        <w:t>.</w:t>
      </w:r>
      <w:r w:rsidR="00F924FF" w:rsidRPr="009B0CB4">
        <w:rPr>
          <w:b/>
          <w:sz w:val="24"/>
          <w:szCs w:val="24"/>
        </w:rPr>
        <w:t xml:space="preserve"> </w:t>
      </w:r>
      <w:r w:rsidR="00F924FF" w:rsidRPr="009B0CB4">
        <w:rPr>
          <w:sz w:val="24"/>
          <w:szCs w:val="24"/>
        </w:rPr>
        <w:t xml:space="preserve">Em análise mais detalhada das operações financeiras e orçamentárias realizadas pela Contadoria no exercício de </w:t>
      </w:r>
      <w:r w:rsidR="009B0CB4" w:rsidRPr="009B0CB4">
        <w:rPr>
          <w:sz w:val="24"/>
          <w:szCs w:val="24"/>
        </w:rPr>
        <w:t>201</w:t>
      </w:r>
      <w:r w:rsidR="00B52539">
        <w:rPr>
          <w:sz w:val="24"/>
          <w:szCs w:val="24"/>
        </w:rPr>
        <w:t>6</w:t>
      </w:r>
      <w:r w:rsidR="00055F31">
        <w:rPr>
          <w:sz w:val="24"/>
          <w:szCs w:val="24"/>
        </w:rPr>
        <w:t>,</w:t>
      </w:r>
      <w:r w:rsidR="00F924FF" w:rsidRPr="009B0CB4">
        <w:rPr>
          <w:sz w:val="24"/>
          <w:szCs w:val="24"/>
        </w:rPr>
        <w:t xml:space="preserve"> observamos em relação ao disposto no Capítulo II, do Título IX da Lei Federal nº 4.320/64, que todas foram escrituradas em conformidade com as normas aí previstas e com observância dos princípios fundamentais de contabilidade, aplicáveis à espécie, pois:</w:t>
      </w:r>
    </w:p>
    <w:p w:rsidR="00F924FF" w:rsidRPr="009B0CB4" w:rsidRDefault="00F924FF" w:rsidP="00A742E2">
      <w:pPr>
        <w:tabs>
          <w:tab w:val="left" w:pos="0"/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>a)</w:t>
      </w:r>
      <w:r w:rsidRPr="009B0CB4">
        <w:rPr>
          <w:sz w:val="24"/>
          <w:szCs w:val="24"/>
        </w:rPr>
        <w:t xml:space="preserve"> A despesa orçamentária conteve-se no limite dos créditos votados e em nenhum momento, durante a execução, excedeu o montante autorizado</w:t>
      </w:r>
      <w:r w:rsidR="00350602">
        <w:rPr>
          <w:sz w:val="24"/>
          <w:szCs w:val="24"/>
        </w:rPr>
        <w:t xml:space="preserve"> na Lei 2.472 de 05/12/2015-LOA</w:t>
      </w:r>
      <w:r w:rsidRPr="009B0CB4">
        <w:rPr>
          <w:sz w:val="24"/>
          <w:szCs w:val="24"/>
        </w:rPr>
        <w:t>.</w:t>
      </w:r>
    </w:p>
    <w:p w:rsidR="00F924FF" w:rsidRPr="007770FA" w:rsidRDefault="00F924FF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2"/>
          <w:szCs w:val="19"/>
        </w:rPr>
      </w:pPr>
      <w:r w:rsidRPr="009B0CB4">
        <w:rPr>
          <w:b/>
          <w:sz w:val="24"/>
          <w:szCs w:val="24"/>
        </w:rPr>
        <w:t>b)</w:t>
      </w:r>
      <w:r w:rsidRPr="009B0CB4">
        <w:rPr>
          <w:sz w:val="24"/>
          <w:szCs w:val="24"/>
        </w:rPr>
        <w:t xml:space="preserve"> Os gastos efetuados guardaram conformidade com a classificação funcional-programática da Lei Federal nº 4.320/64</w:t>
      </w:r>
      <w:r w:rsidRPr="007770FA">
        <w:rPr>
          <w:sz w:val="22"/>
          <w:szCs w:val="19"/>
        </w:rPr>
        <w:t xml:space="preserve"> e Portarias Ministeriais.</w:t>
      </w:r>
    </w:p>
    <w:p w:rsidR="00F924FF" w:rsidRPr="009B0CB4" w:rsidRDefault="00F924FF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 xml:space="preserve">c) </w:t>
      </w:r>
      <w:r w:rsidR="0001549C" w:rsidRPr="009B0CB4">
        <w:rPr>
          <w:b/>
          <w:sz w:val="24"/>
          <w:szCs w:val="24"/>
        </w:rPr>
        <w:t>Não</w:t>
      </w:r>
      <w:r w:rsidRPr="009B0CB4">
        <w:rPr>
          <w:b/>
          <w:sz w:val="24"/>
          <w:szCs w:val="24"/>
        </w:rPr>
        <w:t xml:space="preserve"> </w:t>
      </w:r>
      <w:r w:rsidRPr="009B0CB4">
        <w:rPr>
          <w:sz w:val="24"/>
          <w:szCs w:val="24"/>
        </w:rPr>
        <w:t>Houve correção quanto à classificação econômica da despesa (Anexo 01 da Lei Federal nº 4.320/64 e Portarias Ministeriais).</w:t>
      </w:r>
    </w:p>
    <w:p w:rsidR="00F924FF" w:rsidRPr="009B0CB4" w:rsidRDefault="00F924FF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>d)</w:t>
      </w:r>
      <w:r w:rsidRPr="009B0CB4">
        <w:rPr>
          <w:sz w:val="24"/>
          <w:szCs w:val="24"/>
        </w:rPr>
        <w:t xml:space="preserve"> Ficou caracterizada a observância das fases da despesa estabelecidas nos </w:t>
      </w:r>
      <w:proofErr w:type="spellStart"/>
      <w:r w:rsidRPr="009B0CB4">
        <w:rPr>
          <w:sz w:val="24"/>
          <w:szCs w:val="24"/>
        </w:rPr>
        <w:t>arts</w:t>
      </w:r>
      <w:proofErr w:type="spellEnd"/>
      <w:r w:rsidRPr="009B0CB4">
        <w:rPr>
          <w:sz w:val="24"/>
          <w:szCs w:val="24"/>
        </w:rPr>
        <w:t xml:space="preserve">. </w:t>
      </w:r>
      <w:proofErr w:type="gramStart"/>
      <w:r w:rsidRPr="009B0CB4">
        <w:rPr>
          <w:sz w:val="24"/>
          <w:szCs w:val="24"/>
        </w:rPr>
        <w:t>60, 63 e 64</w:t>
      </w:r>
      <w:proofErr w:type="gramEnd"/>
      <w:r w:rsidRPr="009B0CB4">
        <w:rPr>
          <w:sz w:val="24"/>
          <w:szCs w:val="24"/>
        </w:rPr>
        <w:t xml:space="preserve"> da Lei Federal nº 4.320/64.</w:t>
      </w:r>
    </w:p>
    <w:p w:rsidR="00F924FF" w:rsidRPr="007770FA" w:rsidRDefault="00F924FF" w:rsidP="00A742E2">
      <w:pPr>
        <w:tabs>
          <w:tab w:val="left" w:pos="3402"/>
        </w:tabs>
        <w:spacing w:before="120" w:line="360" w:lineRule="auto"/>
        <w:ind w:firstLine="1134"/>
        <w:jc w:val="both"/>
      </w:pPr>
      <w:r w:rsidRPr="009B0CB4">
        <w:rPr>
          <w:b/>
          <w:sz w:val="24"/>
          <w:szCs w:val="24"/>
        </w:rPr>
        <w:lastRenderedPageBreak/>
        <w:t>e)</w:t>
      </w:r>
      <w:r w:rsidRPr="009B0CB4">
        <w:rPr>
          <w:sz w:val="24"/>
          <w:szCs w:val="24"/>
        </w:rPr>
        <w:t xml:space="preserve"> As Notas de Empenho e Ordens de Pagamento estão acompanhadas de documentação comprobatória hábil, notas fiscais, recibos, faturas, conhecimentos, nos termos da legislação</w:t>
      </w:r>
      <w:r w:rsidRPr="007770FA">
        <w:t xml:space="preserve"> </w:t>
      </w:r>
      <w:r w:rsidRPr="00A742E2">
        <w:rPr>
          <w:sz w:val="24"/>
          <w:szCs w:val="24"/>
        </w:rPr>
        <w:t>vigente.</w:t>
      </w:r>
      <w:r w:rsidRPr="007770FA">
        <w:t xml:space="preserve"> </w:t>
      </w:r>
    </w:p>
    <w:p w:rsidR="00F924FF" w:rsidRPr="009B0CB4" w:rsidRDefault="00F924FF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>f)</w:t>
      </w:r>
      <w:r w:rsidRPr="009B0CB4">
        <w:rPr>
          <w:sz w:val="24"/>
          <w:szCs w:val="24"/>
        </w:rPr>
        <w:t xml:space="preserve"> No exame da documentação relativa às Prestações de Contas de Adiantamentos (art. 68 da Lei Federal nº 4.320/64), constatou-se o cumprimento das normas gerais de Direito Financeiro e da Lei Municipal nº 804/1991.</w:t>
      </w:r>
    </w:p>
    <w:p w:rsidR="00F924FF" w:rsidRPr="009B0CB4" w:rsidRDefault="00F924FF" w:rsidP="00A742E2">
      <w:pPr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>g)</w:t>
      </w:r>
      <w:r w:rsidRPr="009B0CB4">
        <w:rPr>
          <w:sz w:val="24"/>
          <w:szCs w:val="24"/>
        </w:rPr>
        <w:t xml:space="preserve"> Os bens móveis e imóveis adquiridos ou alienados no curso do exercício foram contabilizados nas contas patrimoniais respectivas.</w:t>
      </w:r>
    </w:p>
    <w:p w:rsidR="00F924FF" w:rsidRPr="009B0CB4" w:rsidRDefault="00F924FF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>h)</w:t>
      </w:r>
      <w:r w:rsidRPr="009B0CB4">
        <w:rPr>
          <w:sz w:val="24"/>
          <w:szCs w:val="24"/>
        </w:rPr>
        <w:t xml:space="preserve"> Houve</w:t>
      </w:r>
      <w:r w:rsidR="00DD36C4" w:rsidRPr="009B0CB4">
        <w:rPr>
          <w:sz w:val="24"/>
          <w:szCs w:val="24"/>
        </w:rPr>
        <w:t xml:space="preserve"> </w:t>
      </w:r>
      <w:r w:rsidRPr="009B0CB4">
        <w:rPr>
          <w:sz w:val="24"/>
          <w:szCs w:val="24"/>
        </w:rPr>
        <w:t>controle contábil mensal das entradas, saídas e do saldo dos materiais estocados em almoxarifado.</w:t>
      </w:r>
    </w:p>
    <w:p w:rsidR="00F924FF" w:rsidRPr="009B0CB4" w:rsidRDefault="00F924FF" w:rsidP="00F476DD">
      <w:pPr>
        <w:tabs>
          <w:tab w:val="left" w:pos="3402"/>
        </w:tabs>
        <w:spacing w:before="120" w:line="360" w:lineRule="auto"/>
        <w:ind w:firstLine="1134"/>
        <w:jc w:val="both"/>
        <w:rPr>
          <w:b/>
          <w:sz w:val="24"/>
          <w:szCs w:val="24"/>
        </w:rPr>
      </w:pPr>
      <w:r w:rsidRPr="009B0CB4">
        <w:rPr>
          <w:b/>
          <w:sz w:val="24"/>
          <w:szCs w:val="24"/>
        </w:rPr>
        <w:t>i)</w:t>
      </w:r>
      <w:r w:rsidRPr="009B0CB4">
        <w:rPr>
          <w:sz w:val="24"/>
          <w:szCs w:val="24"/>
        </w:rPr>
        <w:t xml:space="preserve"> Os inventários dos materiais estocados em almoxarifado e dos bens patrimoniais coincidem com os registros contábeis. </w:t>
      </w:r>
      <w:r w:rsidRPr="00447B36">
        <w:rPr>
          <w:color w:val="000000"/>
          <w:sz w:val="24"/>
          <w:szCs w:val="24"/>
        </w:rPr>
        <w:t>Não foram realizados inventários de materiais, só dos bens patrimoniais.</w:t>
      </w:r>
    </w:p>
    <w:p w:rsidR="00F924FF" w:rsidRPr="009B0CB4" w:rsidRDefault="00F924FF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>j)</w:t>
      </w:r>
      <w:r w:rsidRPr="009B0CB4">
        <w:rPr>
          <w:sz w:val="24"/>
          <w:szCs w:val="24"/>
        </w:rPr>
        <w:t xml:space="preserve"> No controle contábil das operações financeiras </w:t>
      </w:r>
      <w:proofErr w:type="spellStart"/>
      <w:proofErr w:type="gramStart"/>
      <w:r w:rsidRPr="009B0CB4">
        <w:rPr>
          <w:sz w:val="24"/>
          <w:szCs w:val="24"/>
        </w:rPr>
        <w:t>extra-orçamentárias</w:t>
      </w:r>
      <w:proofErr w:type="spellEnd"/>
      <w:proofErr w:type="gramEnd"/>
      <w:r w:rsidRPr="009B0CB4">
        <w:rPr>
          <w:sz w:val="24"/>
          <w:szCs w:val="24"/>
        </w:rPr>
        <w:t>, nenhuma irregularidade foi constatada.</w:t>
      </w:r>
    </w:p>
    <w:p w:rsidR="001B15C3" w:rsidRDefault="00F924FF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>l)</w:t>
      </w:r>
      <w:r w:rsidRPr="009B0CB4">
        <w:rPr>
          <w:sz w:val="24"/>
          <w:szCs w:val="24"/>
        </w:rPr>
        <w:t xml:space="preserve"> Analisando-se os créditos adicionais abertos no exercício, observa-se a existência de autorização legal para a abertura bem como a existência dos recursos indicados para a sua cobertura, conforme o prescrito no Art. 43 da Lei 4.320/64. </w:t>
      </w:r>
    </w:p>
    <w:p w:rsidR="00430DBB" w:rsidRDefault="00430DBB" w:rsidP="00430DBB">
      <w:pPr>
        <w:autoSpaceDE w:val="0"/>
        <w:autoSpaceDN w:val="0"/>
        <w:adjustRightInd w:val="0"/>
        <w:ind w:firstLine="1134"/>
        <w:jc w:val="both"/>
        <w:rPr>
          <w:color w:val="000000"/>
          <w:sz w:val="24"/>
          <w:szCs w:val="24"/>
        </w:rPr>
      </w:pPr>
      <w:r w:rsidRPr="008E79C2">
        <w:rPr>
          <w:b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No que respeita ao atendimento dos limites e condições para realização de operações de crédito e inscrição em restos a pagar, cabem as seguintes considerações:</w:t>
      </w:r>
    </w:p>
    <w:p w:rsidR="00430DBB" w:rsidRDefault="00430DBB" w:rsidP="00430DBB">
      <w:pPr>
        <w:autoSpaceDE w:val="0"/>
        <w:autoSpaceDN w:val="0"/>
        <w:adjustRightInd w:val="0"/>
        <w:ind w:firstLine="1701"/>
        <w:jc w:val="both"/>
        <w:rPr>
          <w:color w:val="000000"/>
          <w:sz w:val="24"/>
          <w:szCs w:val="24"/>
        </w:rPr>
      </w:pPr>
    </w:p>
    <w:p w:rsidR="00430DBB" w:rsidRPr="00B30677" w:rsidRDefault="00430DBB" w:rsidP="00430DBB">
      <w:pPr>
        <w:tabs>
          <w:tab w:val="left" w:pos="3402"/>
        </w:tabs>
        <w:spacing w:before="120" w:line="360" w:lineRule="auto"/>
        <w:ind w:firstLine="1134"/>
        <w:jc w:val="both"/>
        <w:rPr>
          <w:b/>
          <w:color w:val="000000"/>
          <w:sz w:val="24"/>
          <w:szCs w:val="24"/>
        </w:rPr>
      </w:pPr>
      <w:r w:rsidRPr="00430DBB">
        <w:rPr>
          <w:b/>
          <w:color w:val="000000"/>
          <w:sz w:val="24"/>
          <w:szCs w:val="24"/>
        </w:rPr>
        <w:t xml:space="preserve">a) </w:t>
      </w:r>
      <w:r w:rsidRPr="00B30677">
        <w:rPr>
          <w:b/>
          <w:color w:val="000000"/>
          <w:sz w:val="24"/>
          <w:szCs w:val="24"/>
        </w:rPr>
        <w:t>OPERAÇÕES DE CRÉDITO:</w:t>
      </w:r>
    </w:p>
    <w:p w:rsidR="00430DBB" w:rsidRPr="00B30677" w:rsidRDefault="00430DBB" w:rsidP="00430DBB">
      <w:pPr>
        <w:pStyle w:val="Corpodetexto"/>
        <w:tabs>
          <w:tab w:val="left" w:pos="4253"/>
        </w:tabs>
        <w:ind w:firstLine="1134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 xml:space="preserve"> O Município não realizou operação de crédito no exercício de 201</w:t>
      </w:r>
      <w:r>
        <w:rPr>
          <w:color w:val="000000"/>
          <w:sz w:val="24"/>
          <w:szCs w:val="24"/>
        </w:rPr>
        <w:t>6</w:t>
      </w:r>
      <w:r w:rsidRPr="00B30677">
        <w:rPr>
          <w:color w:val="000000"/>
          <w:sz w:val="24"/>
          <w:szCs w:val="24"/>
        </w:rPr>
        <w:t>.</w:t>
      </w:r>
    </w:p>
    <w:p w:rsidR="00430DBB" w:rsidRPr="00B30677" w:rsidRDefault="00430DBB" w:rsidP="00430DBB">
      <w:pPr>
        <w:autoSpaceDE w:val="0"/>
        <w:autoSpaceDN w:val="0"/>
        <w:adjustRightInd w:val="0"/>
        <w:ind w:left="1134"/>
        <w:rPr>
          <w:b/>
          <w:bCs/>
          <w:color w:val="000000"/>
          <w:sz w:val="24"/>
          <w:szCs w:val="24"/>
        </w:rPr>
      </w:pPr>
      <w:r w:rsidRPr="00B30677">
        <w:rPr>
          <w:b/>
          <w:bCs/>
          <w:color w:val="000000"/>
          <w:sz w:val="24"/>
          <w:szCs w:val="24"/>
        </w:rPr>
        <w:t>b) OPERAÇÕES DE CRÉDITO POR ANTECIPAÇÃO DE RECEITA - (ARO):</w:t>
      </w:r>
    </w:p>
    <w:p w:rsidR="00430DBB" w:rsidRDefault="00430DBB" w:rsidP="00430DBB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 xml:space="preserve">                     O Município não realizou operações de crédito por antecipação da receita orçamentária no exercício de 201</w:t>
      </w:r>
      <w:r>
        <w:rPr>
          <w:color w:val="000000"/>
          <w:sz w:val="24"/>
          <w:szCs w:val="24"/>
        </w:rPr>
        <w:t>6</w:t>
      </w:r>
      <w:r w:rsidRPr="00B30677">
        <w:rPr>
          <w:color w:val="000000"/>
          <w:sz w:val="24"/>
          <w:szCs w:val="24"/>
        </w:rPr>
        <w:t>.</w:t>
      </w:r>
    </w:p>
    <w:p w:rsidR="002904D5" w:rsidRPr="00C62BA2" w:rsidRDefault="00F4094C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2904D5" w:rsidRPr="00C62BA2">
        <w:rPr>
          <w:b/>
          <w:sz w:val="24"/>
          <w:szCs w:val="24"/>
        </w:rPr>
        <w:t>.</w:t>
      </w:r>
      <w:r w:rsidR="00287C95" w:rsidRPr="00C62BA2">
        <w:rPr>
          <w:sz w:val="24"/>
          <w:szCs w:val="24"/>
        </w:rPr>
        <w:t xml:space="preserve"> </w:t>
      </w:r>
      <w:r w:rsidR="00E44BDC" w:rsidRPr="00C62BA2">
        <w:rPr>
          <w:sz w:val="24"/>
          <w:szCs w:val="24"/>
        </w:rPr>
        <w:t>Receita de transferências Intergovernamentais foi</w:t>
      </w:r>
      <w:r w:rsidR="00350602" w:rsidRPr="00C62BA2">
        <w:rPr>
          <w:sz w:val="24"/>
          <w:szCs w:val="24"/>
        </w:rPr>
        <w:t xml:space="preserve"> </w:t>
      </w:r>
      <w:r w:rsidR="00E44BDC" w:rsidRPr="00C62BA2">
        <w:rPr>
          <w:sz w:val="24"/>
          <w:szCs w:val="24"/>
        </w:rPr>
        <w:t>realizada</w:t>
      </w:r>
      <w:r w:rsidR="00350602" w:rsidRPr="00C62BA2">
        <w:rPr>
          <w:sz w:val="24"/>
          <w:szCs w:val="24"/>
        </w:rPr>
        <w:t xml:space="preserve"> exame das receitas oriundas da </w:t>
      </w:r>
      <w:r w:rsidR="00E44BDC" w:rsidRPr="00C62BA2">
        <w:rPr>
          <w:sz w:val="24"/>
          <w:szCs w:val="24"/>
        </w:rPr>
        <w:t>União</w:t>
      </w:r>
      <w:r w:rsidR="00350602" w:rsidRPr="00C62BA2">
        <w:rPr>
          <w:sz w:val="24"/>
          <w:szCs w:val="24"/>
        </w:rPr>
        <w:t xml:space="preserve"> e do Estado, </w:t>
      </w:r>
      <w:r w:rsidR="00E44BDC" w:rsidRPr="00C62BA2">
        <w:rPr>
          <w:sz w:val="24"/>
          <w:szCs w:val="24"/>
        </w:rPr>
        <w:t>a fim de</w:t>
      </w:r>
      <w:r w:rsidR="00350602" w:rsidRPr="00C62BA2">
        <w:rPr>
          <w:sz w:val="24"/>
          <w:szCs w:val="24"/>
        </w:rPr>
        <w:t xml:space="preserve"> diagnosticar o nível de gerenciamento desses recursos,</w:t>
      </w:r>
      <w:r w:rsidR="0046042F" w:rsidRPr="00C62BA2">
        <w:rPr>
          <w:sz w:val="24"/>
          <w:szCs w:val="24"/>
        </w:rPr>
        <w:t xml:space="preserve"> </w:t>
      </w:r>
      <w:r w:rsidR="00350602" w:rsidRPr="00C62BA2">
        <w:rPr>
          <w:sz w:val="24"/>
          <w:szCs w:val="24"/>
        </w:rPr>
        <w:t xml:space="preserve">avaliar a correção e a </w:t>
      </w:r>
      <w:r w:rsidR="00E44BDC" w:rsidRPr="00C62BA2">
        <w:rPr>
          <w:sz w:val="24"/>
          <w:szCs w:val="24"/>
        </w:rPr>
        <w:t>confiabilidade</w:t>
      </w:r>
      <w:r w:rsidR="00350602" w:rsidRPr="00C62BA2">
        <w:rPr>
          <w:sz w:val="24"/>
          <w:szCs w:val="24"/>
        </w:rPr>
        <w:t xml:space="preserve"> dos lançamentos</w:t>
      </w:r>
      <w:r w:rsidR="0046042F" w:rsidRPr="00C62BA2">
        <w:rPr>
          <w:sz w:val="24"/>
          <w:szCs w:val="24"/>
        </w:rPr>
        <w:t xml:space="preserve"> contábeis e dos procedimentos </w:t>
      </w:r>
      <w:r w:rsidR="00E44BDC" w:rsidRPr="00C62BA2">
        <w:rPr>
          <w:sz w:val="24"/>
          <w:szCs w:val="24"/>
        </w:rPr>
        <w:t>administrativos realizados nos setores envolvidos no controle da arrecadação</w:t>
      </w:r>
      <w:r w:rsidR="0046042F" w:rsidRPr="00C62BA2">
        <w:rPr>
          <w:sz w:val="24"/>
          <w:szCs w:val="24"/>
        </w:rPr>
        <w:t>.</w:t>
      </w:r>
    </w:p>
    <w:p w:rsidR="0046042F" w:rsidRPr="00C62BA2" w:rsidRDefault="0046042F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C62BA2">
        <w:rPr>
          <w:b/>
          <w:sz w:val="24"/>
          <w:szCs w:val="24"/>
        </w:rPr>
        <w:lastRenderedPageBreak/>
        <w:t>a)</w:t>
      </w:r>
      <w:r w:rsidRPr="00C62BA2">
        <w:rPr>
          <w:sz w:val="24"/>
          <w:szCs w:val="24"/>
        </w:rPr>
        <w:t xml:space="preserve"> Os valores recebidos</w:t>
      </w:r>
      <w:r w:rsidR="00E44BDC" w:rsidRPr="00C62BA2">
        <w:rPr>
          <w:sz w:val="24"/>
          <w:szCs w:val="24"/>
        </w:rPr>
        <w:t xml:space="preserve"> </w:t>
      </w:r>
      <w:r w:rsidRPr="00C62BA2">
        <w:rPr>
          <w:sz w:val="24"/>
          <w:szCs w:val="24"/>
        </w:rPr>
        <w:t>a titulo de transferências constitucionais</w:t>
      </w:r>
      <w:r w:rsidR="00E44BDC" w:rsidRPr="00C62BA2">
        <w:rPr>
          <w:sz w:val="24"/>
          <w:szCs w:val="24"/>
        </w:rPr>
        <w:t xml:space="preserve"> </w:t>
      </w:r>
      <w:r w:rsidRPr="00C62BA2">
        <w:rPr>
          <w:sz w:val="24"/>
          <w:szCs w:val="24"/>
        </w:rPr>
        <w:t>e legais do Estado (ICMS, IPI/</w:t>
      </w:r>
      <w:r w:rsidR="00E44BDC" w:rsidRPr="00C62BA2">
        <w:rPr>
          <w:sz w:val="24"/>
          <w:szCs w:val="24"/>
        </w:rPr>
        <w:t>Exportação, CIDE</w:t>
      </w:r>
      <w:r w:rsidRPr="00C62BA2">
        <w:rPr>
          <w:sz w:val="24"/>
          <w:szCs w:val="24"/>
        </w:rPr>
        <w:t>) e da União (FPM, LC 87/96, FUNDEB e Salario Educação), estão de acordo com os índices de participação nesses recursos</w:t>
      </w:r>
      <w:r w:rsidR="00E44BDC" w:rsidRPr="00C62BA2">
        <w:rPr>
          <w:sz w:val="24"/>
          <w:szCs w:val="24"/>
        </w:rPr>
        <w:t xml:space="preserve"> </w:t>
      </w:r>
      <w:r w:rsidRPr="00C62BA2">
        <w:rPr>
          <w:sz w:val="24"/>
          <w:szCs w:val="24"/>
        </w:rPr>
        <w:t>estabelecidos</w:t>
      </w:r>
      <w:r w:rsidR="00E44BDC" w:rsidRPr="00C62BA2">
        <w:rPr>
          <w:sz w:val="24"/>
          <w:szCs w:val="24"/>
        </w:rPr>
        <w:t xml:space="preserve"> </w:t>
      </w:r>
      <w:r w:rsidRPr="00C62BA2">
        <w:rPr>
          <w:sz w:val="24"/>
          <w:szCs w:val="24"/>
        </w:rPr>
        <w:t>pela legislação;</w:t>
      </w:r>
    </w:p>
    <w:p w:rsidR="002904D5" w:rsidRPr="00C62BA2" w:rsidRDefault="0046042F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C62BA2">
        <w:rPr>
          <w:b/>
          <w:sz w:val="24"/>
          <w:szCs w:val="24"/>
        </w:rPr>
        <w:t>b</w:t>
      </w:r>
      <w:r w:rsidRPr="00C62BA2">
        <w:rPr>
          <w:sz w:val="24"/>
          <w:szCs w:val="24"/>
        </w:rPr>
        <w:t>) Os Recursos</w:t>
      </w:r>
      <w:proofErr w:type="gramStart"/>
      <w:r w:rsidRPr="00C62BA2">
        <w:rPr>
          <w:sz w:val="24"/>
          <w:szCs w:val="24"/>
        </w:rPr>
        <w:t xml:space="preserve">  </w:t>
      </w:r>
      <w:proofErr w:type="gramEnd"/>
      <w:r w:rsidRPr="00C62BA2">
        <w:rPr>
          <w:sz w:val="24"/>
          <w:szCs w:val="24"/>
        </w:rPr>
        <w:t>da CIDE, do FUNDEB e do Salario educação, bem como os oriundos  de transferências legais , tais como PAB, Merenda Escolar, Transporte Escolar</w:t>
      </w:r>
      <w:r w:rsidR="00471292" w:rsidRPr="00C62BA2">
        <w:rPr>
          <w:sz w:val="24"/>
          <w:szCs w:val="24"/>
        </w:rPr>
        <w:t xml:space="preserve">, </w:t>
      </w:r>
      <w:r w:rsidR="00E44BDC" w:rsidRPr="00C62BA2">
        <w:rPr>
          <w:sz w:val="24"/>
          <w:szCs w:val="24"/>
        </w:rPr>
        <w:t>Assistência</w:t>
      </w:r>
      <w:r w:rsidR="00471292" w:rsidRPr="00C62BA2">
        <w:rPr>
          <w:sz w:val="24"/>
          <w:szCs w:val="24"/>
        </w:rPr>
        <w:t xml:space="preserve"> Social e de transferências voluntarias da União e do Estado </w:t>
      </w:r>
      <w:r w:rsidR="00E44BDC" w:rsidRPr="00C62BA2">
        <w:rPr>
          <w:sz w:val="24"/>
          <w:szCs w:val="24"/>
        </w:rPr>
        <w:t>v</w:t>
      </w:r>
      <w:r w:rsidR="00471292" w:rsidRPr="00C62BA2">
        <w:rPr>
          <w:sz w:val="24"/>
          <w:szCs w:val="24"/>
        </w:rPr>
        <w:t>inculados a finalidades especificas, foram depositados e movimentados em contas bancarias especificas, atendendo ao disposto no art.50, I, da Lei Complementar nº 101/2000.</w:t>
      </w:r>
    </w:p>
    <w:p w:rsidR="00471292" w:rsidRPr="00C62BA2" w:rsidRDefault="00471292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C62BA2">
        <w:rPr>
          <w:b/>
          <w:sz w:val="24"/>
          <w:szCs w:val="24"/>
        </w:rPr>
        <w:t>c)</w:t>
      </w:r>
      <w:r w:rsidRPr="00C62BA2">
        <w:rPr>
          <w:sz w:val="24"/>
          <w:szCs w:val="24"/>
        </w:rPr>
        <w:t xml:space="preserve"> </w:t>
      </w:r>
      <w:hyperlink r:id="rId9" w:history="1">
        <w:r w:rsidRPr="00C62BA2">
          <w:rPr>
            <w:rStyle w:val="Hyperlink"/>
            <w:color w:val="auto"/>
            <w:sz w:val="24"/>
            <w:szCs w:val="24"/>
            <w:u w:val="none"/>
          </w:rPr>
          <w:t>Na</w:t>
        </w:r>
      </w:hyperlink>
      <w:r w:rsidRPr="00C62BA2">
        <w:rPr>
          <w:sz w:val="24"/>
          <w:szCs w:val="24"/>
        </w:rPr>
        <w:t xml:space="preserve"> execução</w:t>
      </w:r>
      <w:proofErr w:type="gramStart"/>
      <w:r w:rsidRPr="00C62BA2">
        <w:rPr>
          <w:sz w:val="24"/>
          <w:szCs w:val="24"/>
        </w:rPr>
        <w:t xml:space="preserve">  </w:t>
      </w:r>
      <w:proofErr w:type="gramEnd"/>
      <w:r w:rsidRPr="00C62BA2">
        <w:rPr>
          <w:sz w:val="24"/>
          <w:szCs w:val="24"/>
        </w:rPr>
        <w:t>dos recursos  recebidos a titulo de transferência voluntaria, verificamos que quando efetivamente devida , foram efetuadas as prestações de contas parciais ou totais, e o seu respectivo encaminhamento aos órgãos concessores. Também</w:t>
      </w:r>
      <w:r w:rsidR="00E44BDC" w:rsidRPr="00C62BA2">
        <w:rPr>
          <w:sz w:val="24"/>
          <w:szCs w:val="24"/>
        </w:rPr>
        <w:t xml:space="preserve"> </w:t>
      </w:r>
      <w:r w:rsidRPr="00C62BA2">
        <w:rPr>
          <w:sz w:val="24"/>
          <w:szCs w:val="24"/>
        </w:rPr>
        <w:t>foi verificado que o poder executivo observou a determinação posta no art. 2º da Lei</w:t>
      </w:r>
      <w:r w:rsidR="00E44BDC" w:rsidRPr="00C62BA2">
        <w:rPr>
          <w:sz w:val="24"/>
          <w:szCs w:val="24"/>
        </w:rPr>
        <w:t xml:space="preserve"> </w:t>
      </w:r>
      <w:r w:rsidRPr="00C62BA2">
        <w:rPr>
          <w:sz w:val="24"/>
          <w:szCs w:val="24"/>
        </w:rPr>
        <w:t xml:space="preserve">Federal </w:t>
      </w:r>
      <w:r w:rsidR="00E44BDC" w:rsidRPr="00C62BA2">
        <w:rPr>
          <w:sz w:val="24"/>
          <w:szCs w:val="24"/>
        </w:rPr>
        <w:t xml:space="preserve">nº9. </w:t>
      </w:r>
      <w:r w:rsidRPr="00C62BA2">
        <w:rPr>
          <w:sz w:val="24"/>
          <w:szCs w:val="24"/>
        </w:rPr>
        <w:t xml:space="preserve">452/97 quanto a notificação compulsória desses recebimentos aos </w:t>
      </w:r>
      <w:r w:rsidR="001146BD" w:rsidRPr="00C62BA2">
        <w:rPr>
          <w:sz w:val="24"/>
          <w:szCs w:val="24"/>
        </w:rPr>
        <w:t>P</w:t>
      </w:r>
      <w:r w:rsidRPr="00C62BA2">
        <w:rPr>
          <w:sz w:val="24"/>
          <w:szCs w:val="24"/>
        </w:rPr>
        <w:t xml:space="preserve">artidos </w:t>
      </w:r>
      <w:r w:rsidR="001146BD" w:rsidRPr="00C62BA2">
        <w:rPr>
          <w:sz w:val="24"/>
          <w:szCs w:val="24"/>
        </w:rPr>
        <w:t>P</w:t>
      </w:r>
      <w:r w:rsidRPr="00C62BA2">
        <w:rPr>
          <w:sz w:val="24"/>
          <w:szCs w:val="24"/>
        </w:rPr>
        <w:t xml:space="preserve">olíticos, </w:t>
      </w:r>
      <w:r w:rsidR="001146BD" w:rsidRPr="00C62BA2">
        <w:rPr>
          <w:sz w:val="24"/>
          <w:szCs w:val="24"/>
        </w:rPr>
        <w:t>S</w:t>
      </w:r>
      <w:r w:rsidRPr="00C62BA2">
        <w:rPr>
          <w:sz w:val="24"/>
          <w:szCs w:val="24"/>
        </w:rPr>
        <w:t xml:space="preserve">indicatos de </w:t>
      </w:r>
      <w:r w:rsidR="001146BD" w:rsidRPr="00C62BA2">
        <w:rPr>
          <w:sz w:val="24"/>
          <w:szCs w:val="24"/>
        </w:rPr>
        <w:t>T</w:t>
      </w:r>
      <w:r w:rsidRPr="00C62BA2">
        <w:rPr>
          <w:sz w:val="24"/>
          <w:szCs w:val="24"/>
        </w:rPr>
        <w:t>rabalhadore</w:t>
      </w:r>
      <w:r w:rsidR="001146BD" w:rsidRPr="00C62BA2">
        <w:rPr>
          <w:sz w:val="24"/>
          <w:szCs w:val="24"/>
        </w:rPr>
        <w:t>s</w:t>
      </w:r>
      <w:r w:rsidRPr="00C62BA2">
        <w:rPr>
          <w:sz w:val="24"/>
          <w:szCs w:val="24"/>
        </w:rPr>
        <w:t xml:space="preserve"> e entidades Empresariais com sede no </w:t>
      </w:r>
      <w:r w:rsidR="001146BD" w:rsidRPr="00C62BA2">
        <w:rPr>
          <w:sz w:val="24"/>
          <w:szCs w:val="24"/>
        </w:rPr>
        <w:t>Mu</w:t>
      </w:r>
      <w:r w:rsidRPr="00C62BA2">
        <w:rPr>
          <w:sz w:val="24"/>
          <w:szCs w:val="24"/>
        </w:rPr>
        <w:t>nic</w:t>
      </w:r>
      <w:r w:rsidR="001146BD" w:rsidRPr="00C62BA2">
        <w:rPr>
          <w:sz w:val="24"/>
          <w:szCs w:val="24"/>
        </w:rPr>
        <w:t>í</w:t>
      </w:r>
      <w:r w:rsidRPr="00C62BA2">
        <w:rPr>
          <w:sz w:val="24"/>
          <w:szCs w:val="24"/>
        </w:rPr>
        <w:t>pio</w:t>
      </w:r>
      <w:r w:rsidR="001146BD" w:rsidRPr="00C62BA2">
        <w:rPr>
          <w:sz w:val="24"/>
          <w:szCs w:val="24"/>
        </w:rPr>
        <w:t>, no prazo</w:t>
      </w:r>
      <w:proofErr w:type="gramStart"/>
      <w:r w:rsidR="001146BD" w:rsidRPr="00C62BA2">
        <w:rPr>
          <w:sz w:val="24"/>
          <w:szCs w:val="24"/>
        </w:rPr>
        <w:t xml:space="preserve">  </w:t>
      </w:r>
      <w:proofErr w:type="gramEnd"/>
      <w:r w:rsidR="001146BD" w:rsidRPr="00C62BA2">
        <w:rPr>
          <w:sz w:val="24"/>
          <w:szCs w:val="24"/>
        </w:rPr>
        <w:t>de até</w:t>
      </w:r>
      <w:r w:rsidRPr="00C62BA2">
        <w:rPr>
          <w:sz w:val="24"/>
          <w:szCs w:val="24"/>
        </w:rPr>
        <w:t xml:space="preserve"> </w:t>
      </w:r>
      <w:r w:rsidR="001146BD" w:rsidRPr="00C62BA2">
        <w:rPr>
          <w:sz w:val="24"/>
          <w:szCs w:val="24"/>
        </w:rPr>
        <w:t>dois dias uteis contados da data do recebimento.</w:t>
      </w:r>
    </w:p>
    <w:p w:rsidR="001146BD" w:rsidRPr="00C62BA2" w:rsidRDefault="001146BD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C62BA2">
        <w:rPr>
          <w:b/>
          <w:sz w:val="24"/>
          <w:szCs w:val="24"/>
        </w:rPr>
        <w:t>d)</w:t>
      </w:r>
      <w:r w:rsidRPr="00C62BA2">
        <w:rPr>
          <w:sz w:val="24"/>
          <w:szCs w:val="24"/>
        </w:rPr>
        <w:t xml:space="preserve"> Ainda quanto</w:t>
      </w:r>
      <w:r w:rsidR="00E44BDC" w:rsidRPr="00C62BA2">
        <w:rPr>
          <w:sz w:val="24"/>
          <w:szCs w:val="24"/>
        </w:rPr>
        <w:t xml:space="preserve"> às</w:t>
      </w:r>
      <w:r w:rsidRPr="00C62BA2">
        <w:rPr>
          <w:sz w:val="24"/>
          <w:szCs w:val="24"/>
        </w:rPr>
        <w:t xml:space="preserve"> transferências voluntarias ver</w:t>
      </w:r>
      <w:r w:rsidR="00287C95" w:rsidRPr="00C62BA2">
        <w:rPr>
          <w:sz w:val="24"/>
          <w:szCs w:val="24"/>
        </w:rPr>
        <w:t>i</w:t>
      </w:r>
      <w:r w:rsidRPr="00C62BA2">
        <w:rPr>
          <w:sz w:val="24"/>
          <w:szCs w:val="24"/>
        </w:rPr>
        <w:t>ficou-se</w:t>
      </w:r>
      <w:r w:rsidR="00E44BDC" w:rsidRPr="00C62BA2">
        <w:rPr>
          <w:sz w:val="24"/>
          <w:szCs w:val="24"/>
        </w:rPr>
        <w:t xml:space="preserve"> </w:t>
      </w:r>
      <w:r w:rsidRPr="00C62BA2">
        <w:rPr>
          <w:sz w:val="24"/>
          <w:szCs w:val="24"/>
        </w:rPr>
        <w:t>que conforme o art.116, §§ 4 º e 5º da Lei Federal nº 8.666/93, os mesmos foram aplicados</w:t>
      </w:r>
      <w:r w:rsidR="00E44BDC" w:rsidRPr="00C62BA2">
        <w:rPr>
          <w:sz w:val="24"/>
          <w:szCs w:val="24"/>
        </w:rPr>
        <w:t xml:space="preserve"> </w:t>
      </w:r>
      <w:r w:rsidRPr="00C62BA2">
        <w:rPr>
          <w:sz w:val="24"/>
          <w:szCs w:val="24"/>
        </w:rPr>
        <w:t xml:space="preserve">em </w:t>
      </w:r>
      <w:r w:rsidR="00E44BDC" w:rsidRPr="00C62BA2">
        <w:rPr>
          <w:sz w:val="24"/>
          <w:szCs w:val="24"/>
        </w:rPr>
        <w:t>cadernetas</w:t>
      </w:r>
      <w:r w:rsidRPr="00C62BA2">
        <w:rPr>
          <w:sz w:val="24"/>
          <w:szCs w:val="24"/>
        </w:rPr>
        <w:t xml:space="preserve"> de poupança de instituições financeira oficial ou em fundos de aplicações financeiras de curto prazo.</w:t>
      </w:r>
    </w:p>
    <w:p w:rsidR="00287C95" w:rsidRPr="00C62BA2" w:rsidRDefault="00287C95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C62BA2">
        <w:rPr>
          <w:b/>
          <w:sz w:val="24"/>
          <w:szCs w:val="24"/>
        </w:rPr>
        <w:t>e)</w:t>
      </w:r>
      <w:r w:rsidRPr="00C62BA2">
        <w:rPr>
          <w:sz w:val="24"/>
          <w:szCs w:val="24"/>
        </w:rPr>
        <w:t xml:space="preserve"> Quanto </w:t>
      </w:r>
      <w:r w:rsidR="00E44BDC" w:rsidRPr="00C62BA2">
        <w:rPr>
          <w:sz w:val="24"/>
          <w:szCs w:val="24"/>
        </w:rPr>
        <w:t>às</w:t>
      </w:r>
      <w:r w:rsidRPr="00C62BA2">
        <w:rPr>
          <w:sz w:val="24"/>
          <w:szCs w:val="24"/>
        </w:rPr>
        <w:t xml:space="preserve"> transferências</w:t>
      </w:r>
      <w:r w:rsidR="00E44BDC" w:rsidRPr="00C62BA2">
        <w:rPr>
          <w:sz w:val="24"/>
          <w:szCs w:val="24"/>
        </w:rPr>
        <w:t xml:space="preserve"> voluntarias realizada</w:t>
      </w:r>
      <w:r w:rsidRPr="00C62BA2">
        <w:rPr>
          <w:sz w:val="24"/>
          <w:szCs w:val="24"/>
        </w:rPr>
        <w:t xml:space="preserve"> </w:t>
      </w:r>
      <w:r w:rsidR="00E44BDC" w:rsidRPr="00C62BA2">
        <w:rPr>
          <w:sz w:val="24"/>
          <w:szCs w:val="24"/>
        </w:rPr>
        <w:t>p</w:t>
      </w:r>
      <w:r w:rsidRPr="00C62BA2">
        <w:rPr>
          <w:sz w:val="24"/>
          <w:szCs w:val="24"/>
        </w:rPr>
        <w:t xml:space="preserve">ela União por meio de convenio e ou contratos de repasse, as mesmas estão regularmente sendo registrada no portal dos </w:t>
      </w:r>
      <w:r w:rsidR="00E44BDC" w:rsidRPr="00C62BA2">
        <w:rPr>
          <w:sz w:val="24"/>
          <w:szCs w:val="24"/>
        </w:rPr>
        <w:t>Convênios</w:t>
      </w:r>
      <w:r w:rsidRPr="00C62BA2">
        <w:rPr>
          <w:sz w:val="24"/>
          <w:szCs w:val="24"/>
        </w:rPr>
        <w:t xml:space="preserve"> (SICONV), permitindo aos órgãos repassadores do governo federal o controle em tempo real da execução. </w:t>
      </w:r>
    </w:p>
    <w:p w:rsidR="002904D5" w:rsidRPr="00020F6C" w:rsidRDefault="00F4094C" w:rsidP="00430DBB">
      <w:pPr>
        <w:pStyle w:val="Corpodetexto"/>
        <w:tabs>
          <w:tab w:val="left" w:pos="4253"/>
        </w:tabs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87C95" w:rsidRPr="00020F6C">
        <w:rPr>
          <w:b/>
          <w:sz w:val="24"/>
          <w:szCs w:val="24"/>
        </w:rPr>
        <w:t>- Cobrança da Divida Ativa e dos</w:t>
      </w:r>
      <w:r w:rsidR="00E44BDC" w:rsidRPr="00020F6C">
        <w:rPr>
          <w:b/>
          <w:sz w:val="24"/>
          <w:szCs w:val="24"/>
        </w:rPr>
        <w:t xml:space="preserve"> </w:t>
      </w:r>
      <w:r w:rsidR="00287C95" w:rsidRPr="00020F6C">
        <w:rPr>
          <w:b/>
          <w:sz w:val="24"/>
          <w:szCs w:val="24"/>
        </w:rPr>
        <w:t>Títulos Executivos emitidos pelo TCR?RS</w:t>
      </w:r>
    </w:p>
    <w:p w:rsidR="00C62BA2" w:rsidRPr="00020F6C" w:rsidRDefault="00362583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020F6C">
        <w:rPr>
          <w:b/>
          <w:sz w:val="24"/>
          <w:szCs w:val="24"/>
        </w:rPr>
        <w:t>a)</w:t>
      </w:r>
      <w:r w:rsidRPr="00020F6C">
        <w:rPr>
          <w:sz w:val="24"/>
          <w:szCs w:val="24"/>
        </w:rPr>
        <w:t xml:space="preserve"> </w:t>
      </w:r>
      <w:r w:rsidR="00DF429A" w:rsidRPr="00020F6C">
        <w:rPr>
          <w:sz w:val="24"/>
          <w:szCs w:val="24"/>
        </w:rPr>
        <w:t>Em relação a esse item de ver</w:t>
      </w:r>
      <w:r w:rsidR="001F4B53" w:rsidRPr="00020F6C">
        <w:rPr>
          <w:sz w:val="24"/>
          <w:szCs w:val="24"/>
        </w:rPr>
        <w:t>i</w:t>
      </w:r>
      <w:r w:rsidR="00DF429A" w:rsidRPr="00020F6C">
        <w:rPr>
          <w:sz w:val="24"/>
          <w:szCs w:val="24"/>
        </w:rPr>
        <w:t>ficação</w:t>
      </w:r>
      <w:r w:rsidR="001F4B53" w:rsidRPr="00020F6C">
        <w:rPr>
          <w:sz w:val="24"/>
          <w:szCs w:val="24"/>
        </w:rPr>
        <w:t xml:space="preserve"> compulsória que foram</w:t>
      </w:r>
      <w:r w:rsidRPr="00020F6C">
        <w:rPr>
          <w:sz w:val="24"/>
          <w:szCs w:val="24"/>
        </w:rPr>
        <w:t xml:space="preserve"> avaliadas as providencias tomadas pela administração para receber as receitas não recolhidas no prazo de vencimento. Também foi analisada a adequação dos registros contábeis </w:t>
      </w:r>
      <w:proofErr w:type="spellStart"/>
      <w:r w:rsidRPr="00020F6C">
        <w:rPr>
          <w:sz w:val="24"/>
          <w:szCs w:val="24"/>
        </w:rPr>
        <w:t>atenientes</w:t>
      </w:r>
      <w:proofErr w:type="spellEnd"/>
      <w:r w:rsidRPr="00020F6C">
        <w:rPr>
          <w:sz w:val="24"/>
          <w:szCs w:val="24"/>
        </w:rPr>
        <w:t xml:space="preserve"> á divida ativa, principalmente quanto ao destaque dos créditos realizáveis a longo e curto prazo e a provisão para perdas na divida ativa.</w:t>
      </w:r>
    </w:p>
    <w:p w:rsidR="00C62BA2" w:rsidRPr="00020F6C" w:rsidRDefault="00C62BA2" w:rsidP="00430DBB">
      <w:pPr>
        <w:pStyle w:val="Corpodetexto"/>
        <w:tabs>
          <w:tab w:val="left" w:pos="4253"/>
        </w:tabs>
        <w:ind w:firstLine="1134"/>
        <w:rPr>
          <w:b/>
          <w:sz w:val="24"/>
          <w:szCs w:val="24"/>
        </w:rPr>
      </w:pPr>
    </w:p>
    <w:p w:rsidR="00C62BA2" w:rsidRPr="00020F6C" w:rsidRDefault="00362583" w:rsidP="00430DBB">
      <w:pPr>
        <w:pStyle w:val="Corpodetexto"/>
        <w:tabs>
          <w:tab w:val="left" w:pos="4253"/>
        </w:tabs>
        <w:ind w:firstLine="1134"/>
        <w:rPr>
          <w:b/>
          <w:sz w:val="24"/>
          <w:szCs w:val="24"/>
        </w:rPr>
      </w:pPr>
      <w:r w:rsidRPr="00020F6C">
        <w:rPr>
          <w:b/>
          <w:sz w:val="24"/>
          <w:szCs w:val="24"/>
        </w:rPr>
        <w:lastRenderedPageBreak/>
        <w:t xml:space="preserve">b) </w:t>
      </w:r>
      <w:r w:rsidRPr="00020F6C">
        <w:rPr>
          <w:sz w:val="24"/>
          <w:szCs w:val="24"/>
        </w:rPr>
        <w:t>A analise amostral realizada em 30/10/2016 processos revelou que os termos de inscrição em divida ativa possuem os requisitos constantes no art.2º, §5º</w:t>
      </w:r>
      <w:r w:rsidR="003758BC" w:rsidRPr="00020F6C">
        <w:rPr>
          <w:sz w:val="24"/>
          <w:szCs w:val="24"/>
        </w:rPr>
        <w:t xml:space="preserve">, </w:t>
      </w:r>
      <w:r w:rsidRPr="00020F6C">
        <w:rPr>
          <w:sz w:val="24"/>
          <w:szCs w:val="24"/>
        </w:rPr>
        <w:t>da Lei Federal n</w:t>
      </w:r>
      <w:r w:rsidR="001C7A41" w:rsidRPr="00020F6C">
        <w:rPr>
          <w:sz w:val="24"/>
          <w:szCs w:val="24"/>
        </w:rPr>
        <w:t>º 6.830/80 e art. 202 do CTN.</w:t>
      </w:r>
    </w:p>
    <w:p w:rsidR="00C62BA2" w:rsidRPr="00020F6C" w:rsidRDefault="001C7A41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020F6C">
        <w:rPr>
          <w:b/>
          <w:sz w:val="24"/>
          <w:szCs w:val="24"/>
        </w:rPr>
        <w:t xml:space="preserve">c) </w:t>
      </w:r>
      <w:r w:rsidR="003758BC" w:rsidRPr="00020F6C">
        <w:rPr>
          <w:sz w:val="24"/>
          <w:szCs w:val="24"/>
        </w:rPr>
        <w:t>E</w:t>
      </w:r>
      <w:r w:rsidRPr="00020F6C">
        <w:rPr>
          <w:sz w:val="24"/>
          <w:szCs w:val="24"/>
        </w:rPr>
        <w:t xml:space="preserve">stão inscritos em divida ativa todos os créditos tributários e não tributário e não arrecadados pelo </w:t>
      </w:r>
      <w:r w:rsidR="003758BC" w:rsidRPr="00020F6C">
        <w:rPr>
          <w:sz w:val="24"/>
          <w:szCs w:val="24"/>
        </w:rPr>
        <w:t>Município</w:t>
      </w:r>
      <w:r w:rsidRPr="00020F6C">
        <w:rPr>
          <w:sz w:val="24"/>
          <w:szCs w:val="24"/>
        </w:rPr>
        <w:t>, em cumprimento ao disposto no art. 39 § 2º da Lei</w:t>
      </w:r>
      <w:r w:rsidR="003758BC" w:rsidRPr="00020F6C">
        <w:rPr>
          <w:sz w:val="24"/>
          <w:szCs w:val="24"/>
        </w:rPr>
        <w:t xml:space="preserve"> </w:t>
      </w:r>
      <w:r w:rsidRPr="00020F6C">
        <w:rPr>
          <w:sz w:val="24"/>
          <w:szCs w:val="24"/>
        </w:rPr>
        <w:t xml:space="preserve">Federal nº 4.320/64, sendo </w:t>
      </w:r>
      <w:r w:rsidR="003758BC" w:rsidRPr="00020F6C">
        <w:rPr>
          <w:sz w:val="24"/>
          <w:szCs w:val="24"/>
        </w:rPr>
        <w:t xml:space="preserve">que </w:t>
      </w:r>
      <w:r w:rsidRPr="00020F6C">
        <w:rPr>
          <w:sz w:val="24"/>
          <w:szCs w:val="24"/>
        </w:rPr>
        <w:t>a administração municipal através do setor de tributos efetivamente</w:t>
      </w:r>
      <w:r w:rsidR="003758BC" w:rsidRPr="00020F6C">
        <w:rPr>
          <w:sz w:val="24"/>
          <w:szCs w:val="24"/>
        </w:rPr>
        <w:t xml:space="preserve"> efetua</w:t>
      </w:r>
      <w:r w:rsidRPr="00020F6C">
        <w:rPr>
          <w:sz w:val="24"/>
          <w:szCs w:val="24"/>
        </w:rPr>
        <w:t xml:space="preserve"> a cobrança da divida ativa, nas esferas administrativa e Judicial.</w:t>
      </w:r>
    </w:p>
    <w:p w:rsidR="003758BC" w:rsidRPr="00020F6C" w:rsidRDefault="003758BC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020F6C">
        <w:rPr>
          <w:sz w:val="24"/>
          <w:szCs w:val="24"/>
        </w:rPr>
        <w:t xml:space="preserve">d) Os saldos existentes no cadastro da divida ativa dos </w:t>
      </w:r>
      <w:r w:rsidR="00020F6C" w:rsidRPr="00020F6C">
        <w:rPr>
          <w:sz w:val="24"/>
          <w:szCs w:val="24"/>
        </w:rPr>
        <w:t>contribuintes (</w:t>
      </w:r>
      <w:r w:rsidRPr="00020F6C">
        <w:rPr>
          <w:sz w:val="24"/>
          <w:szCs w:val="24"/>
        </w:rPr>
        <w:t xml:space="preserve">setor tributário) correspondem aos valores apresentados pela contabilidade em 31 de dezembro de 2016, a qual </w:t>
      </w:r>
      <w:r w:rsidR="00020F6C" w:rsidRPr="00020F6C">
        <w:rPr>
          <w:sz w:val="24"/>
          <w:szCs w:val="24"/>
        </w:rPr>
        <w:t>evidencia,</w:t>
      </w:r>
      <w:r w:rsidRPr="00020F6C">
        <w:rPr>
          <w:sz w:val="24"/>
          <w:szCs w:val="24"/>
        </w:rPr>
        <w:t xml:space="preserve"> em contas especificas, a divida ativa de curto prazo e de longo prazo, bem como a Provisão para perdas da divida ativa, nos termos do Manual de Contabilidade Aplicado ao Setor Público-MCASP.</w:t>
      </w:r>
    </w:p>
    <w:p w:rsidR="003758BC" w:rsidRDefault="003758BC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  <w:r w:rsidRPr="00020F6C">
        <w:rPr>
          <w:b/>
          <w:sz w:val="24"/>
          <w:szCs w:val="24"/>
        </w:rPr>
        <w:t>e)</w:t>
      </w:r>
      <w:r w:rsidRPr="00020F6C">
        <w:rPr>
          <w:sz w:val="24"/>
          <w:szCs w:val="24"/>
        </w:rPr>
        <w:t xml:space="preserve"> Quanto aos títulos executivos</w:t>
      </w:r>
      <w:r w:rsidR="00020F6C" w:rsidRPr="00020F6C">
        <w:rPr>
          <w:sz w:val="24"/>
          <w:szCs w:val="24"/>
        </w:rPr>
        <w:t xml:space="preserve"> </w:t>
      </w:r>
      <w:r w:rsidRPr="00020F6C">
        <w:rPr>
          <w:sz w:val="24"/>
          <w:szCs w:val="24"/>
        </w:rPr>
        <w:t xml:space="preserve">emitidos pelo tribunal de contas do estado, </w:t>
      </w:r>
      <w:r w:rsidR="00020F6C" w:rsidRPr="00020F6C">
        <w:rPr>
          <w:sz w:val="24"/>
          <w:szCs w:val="24"/>
        </w:rPr>
        <w:t>verificou-se</w:t>
      </w:r>
      <w:r w:rsidRPr="00020F6C">
        <w:rPr>
          <w:sz w:val="24"/>
          <w:szCs w:val="24"/>
        </w:rPr>
        <w:t xml:space="preserve"> o atendimento das disposições contidas na resolução nº 879/2010</w:t>
      </w:r>
      <w:r w:rsidR="00020F6C" w:rsidRPr="00020F6C">
        <w:rPr>
          <w:sz w:val="24"/>
          <w:szCs w:val="24"/>
        </w:rPr>
        <w:t>, especialmente quanto ao registro contábil em contas próprias dos créditos e dos valores arrecadados; adoção de medidas administrativas ou judiciais para a cobrança dos créditos expressos nas certidões de decisão- Títulos Executivos; a prestação de informação tempestiva a direção Geral do tribunal de Contas a cerca das medidas de cobranças adotadas, inclusive com remessa de documentação comprobatória.</w:t>
      </w:r>
    </w:p>
    <w:p w:rsidR="00546814" w:rsidRPr="00020F6C" w:rsidRDefault="00546814" w:rsidP="00430DBB">
      <w:pPr>
        <w:pStyle w:val="Corpodetexto"/>
        <w:tabs>
          <w:tab w:val="left" w:pos="4253"/>
        </w:tabs>
        <w:ind w:firstLine="1134"/>
        <w:rPr>
          <w:sz w:val="24"/>
          <w:szCs w:val="24"/>
        </w:rPr>
      </w:pPr>
    </w:p>
    <w:p w:rsidR="00430DBB" w:rsidRPr="00F4094C" w:rsidRDefault="00F4094C" w:rsidP="00430DBB">
      <w:pPr>
        <w:pStyle w:val="Corpodetexto"/>
        <w:tabs>
          <w:tab w:val="left" w:pos="4253"/>
        </w:tabs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904D5" w:rsidRPr="00F4094C">
        <w:rPr>
          <w:b/>
          <w:sz w:val="24"/>
          <w:szCs w:val="24"/>
        </w:rPr>
        <w:t>.</w:t>
      </w:r>
      <w:r w:rsidR="00430DBB" w:rsidRPr="00F4094C">
        <w:rPr>
          <w:b/>
          <w:sz w:val="24"/>
          <w:szCs w:val="24"/>
        </w:rPr>
        <w:t xml:space="preserve"> RESTOS A PAGAR:</w:t>
      </w:r>
    </w:p>
    <w:p w:rsidR="00430DBB" w:rsidRPr="00D61DBC" w:rsidRDefault="00430DBB" w:rsidP="00430DBB">
      <w:pPr>
        <w:pStyle w:val="Corpodetexto"/>
        <w:ind w:firstLine="1134"/>
        <w:rPr>
          <w:color w:val="00B0F0"/>
          <w:sz w:val="24"/>
          <w:szCs w:val="24"/>
        </w:rPr>
      </w:pPr>
      <w:r w:rsidRPr="00546814">
        <w:rPr>
          <w:sz w:val="24"/>
          <w:szCs w:val="24"/>
        </w:rPr>
        <w:t xml:space="preserve"> Quanto aos restos a pagar, verificou-se o seguinte: o balancete da despesa emitido em 31/12/2016 revela que o total empenhado foi de R$ </w:t>
      </w:r>
      <w:r w:rsidR="00E44BDC" w:rsidRPr="00546814">
        <w:rPr>
          <w:sz w:val="24"/>
          <w:szCs w:val="24"/>
        </w:rPr>
        <w:t xml:space="preserve">26.568,240, </w:t>
      </w:r>
      <w:r w:rsidRPr="00546814">
        <w:rPr>
          <w:sz w:val="24"/>
          <w:szCs w:val="24"/>
        </w:rPr>
        <w:t>24 liquidados valor de R$ 26.534.964,49 e pagos R$ 26.292.610,87, restos a pagar liquidados R$ 242.535,62 respectivamente houve restos a pagar não liquidados no valor de R$</w:t>
      </w:r>
      <w:r w:rsidR="00E44BDC" w:rsidRPr="00546814">
        <w:rPr>
          <w:sz w:val="24"/>
          <w:szCs w:val="24"/>
        </w:rPr>
        <w:t xml:space="preserve"> </w:t>
      </w:r>
      <w:r w:rsidRPr="00546814">
        <w:rPr>
          <w:sz w:val="24"/>
          <w:szCs w:val="24"/>
        </w:rPr>
        <w:t xml:space="preserve">33.275,75. Confrontando-se tais empenhos com as disponibilidades de caixa verificada em 31.12.2016 e respeitadas </w:t>
      </w:r>
      <w:r w:rsidR="00E44BDC" w:rsidRPr="00546814">
        <w:rPr>
          <w:sz w:val="24"/>
          <w:szCs w:val="24"/>
        </w:rPr>
        <w:t>às</w:t>
      </w:r>
      <w:r w:rsidRPr="00546814">
        <w:rPr>
          <w:sz w:val="24"/>
          <w:szCs w:val="24"/>
        </w:rPr>
        <w:t xml:space="preserve"> fontes de recursos correspondentes, (Conforme</w:t>
      </w:r>
      <w:r w:rsidR="00E44BDC" w:rsidRPr="00546814">
        <w:rPr>
          <w:sz w:val="24"/>
          <w:szCs w:val="24"/>
        </w:rPr>
        <w:t xml:space="preserve"> </w:t>
      </w:r>
      <w:r w:rsidRPr="00546814">
        <w:rPr>
          <w:sz w:val="24"/>
          <w:szCs w:val="24"/>
        </w:rPr>
        <w:t>demonstração no Balancete Orçamentário da despesa</w:t>
      </w:r>
      <w:r w:rsidR="00E44BDC" w:rsidRPr="00546814">
        <w:rPr>
          <w:sz w:val="24"/>
          <w:szCs w:val="24"/>
        </w:rPr>
        <w:t>).</w:t>
      </w:r>
    </w:p>
    <w:p w:rsidR="00430DBB" w:rsidRDefault="00430DBB" w:rsidP="00430DBB">
      <w:pPr>
        <w:pStyle w:val="Ttulo3"/>
        <w:rPr>
          <w:color w:val="000000"/>
          <w:sz w:val="18"/>
          <w:szCs w:val="18"/>
        </w:rPr>
      </w:pPr>
    </w:p>
    <w:p w:rsidR="00B7349F" w:rsidRDefault="00B7349F" w:rsidP="00B7349F"/>
    <w:p w:rsidR="00B7349F" w:rsidRDefault="00B7349F" w:rsidP="00B7349F"/>
    <w:p w:rsidR="00B7349F" w:rsidRDefault="00B7349F" w:rsidP="00B7349F"/>
    <w:p w:rsidR="00B7349F" w:rsidRDefault="00B7349F" w:rsidP="00B7349F"/>
    <w:p w:rsidR="00B7349F" w:rsidRDefault="00B7349F" w:rsidP="00B7349F"/>
    <w:p w:rsidR="00B7349F" w:rsidRDefault="00B7349F" w:rsidP="00B7349F"/>
    <w:p w:rsidR="00B7349F" w:rsidRDefault="00B7349F" w:rsidP="00B7349F"/>
    <w:p w:rsidR="00B7349F" w:rsidRDefault="00B7349F" w:rsidP="00B7349F"/>
    <w:p w:rsidR="00B7349F" w:rsidRPr="00B7349F" w:rsidRDefault="00B7349F" w:rsidP="00B7349F"/>
    <w:p w:rsidR="00430DBB" w:rsidRDefault="00430DBB" w:rsidP="00430DBB">
      <w:pPr>
        <w:pStyle w:val="Ttulo3"/>
        <w:rPr>
          <w:color w:val="000000"/>
          <w:sz w:val="18"/>
          <w:szCs w:val="18"/>
        </w:rPr>
      </w:pPr>
      <w:r w:rsidRPr="00B30677">
        <w:rPr>
          <w:color w:val="000000"/>
          <w:sz w:val="18"/>
          <w:szCs w:val="18"/>
        </w:rPr>
        <w:t>RECURSOS DISPONÍVEIS X OBRIGAÇÕES A PAGAR EM 31/12/201</w:t>
      </w:r>
      <w:r>
        <w:rPr>
          <w:color w:val="000000"/>
          <w:sz w:val="18"/>
          <w:szCs w:val="18"/>
        </w:rPr>
        <w:t>6</w:t>
      </w:r>
      <w:r w:rsidRPr="00B30677">
        <w:rPr>
          <w:color w:val="000000"/>
          <w:sz w:val="18"/>
          <w:szCs w:val="18"/>
        </w:rPr>
        <w:t>.</w:t>
      </w:r>
    </w:p>
    <w:p w:rsidR="00430DBB" w:rsidRPr="008E79C2" w:rsidRDefault="00430DBB" w:rsidP="00430DBB">
      <w:pPr>
        <w:rPr>
          <w:sz w:val="24"/>
          <w:szCs w:val="24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418"/>
        <w:gridCol w:w="1559"/>
      </w:tblGrid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30677">
              <w:rPr>
                <w:b/>
                <w:bCs/>
                <w:color w:val="000000"/>
                <w:sz w:val="22"/>
                <w:szCs w:val="22"/>
              </w:rPr>
              <w:t>RECURSO</w:t>
            </w:r>
          </w:p>
        </w:tc>
        <w:tc>
          <w:tcPr>
            <w:tcW w:w="1559" w:type="dxa"/>
          </w:tcPr>
          <w:p w:rsidR="00430DBB" w:rsidRPr="00B30677" w:rsidRDefault="00430DBB" w:rsidP="001146BD">
            <w:pPr>
              <w:jc w:val="center"/>
              <w:rPr>
                <w:b/>
                <w:bCs/>
                <w:color w:val="000000"/>
              </w:rPr>
            </w:pPr>
            <w:r w:rsidRPr="00B30677">
              <w:rPr>
                <w:b/>
                <w:bCs/>
                <w:color w:val="000000"/>
              </w:rPr>
              <w:t>DISP</w:t>
            </w:r>
            <w:r w:rsidR="008C7979">
              <w:rPr>
                <w:b/>
                <w:bCs/>
                <w:color w:val="000000"/>
              </w:rPr>
              <w:t>ON.</w:t>
            </w:r>
            <w:r w:rsidRPr="00B30677">
              <w:rPr>
                <w:b/>
                <w:bCs/>
                <w:color w:val="000000"/>
              </w:rPr>
              <w:t xml:space="preserve"> 31/12</w:t>
            </w:r>
          </w:p>
        </w:tc>
        <w:tc>
          <w:tcPr>
            <w:tcW w:w="1418" w:type="dxa"/>
          </w:tcPr>
          <w:p w:rsidR="00430DBB" w:rsidRPr="00B30677" w:rsidRDefault="00430DBB" w:rsidP="001146BD">
            <w:pPr>
              <w:jc w:val="center"/>
              <w:rPr>
                <w:b/>
                <w:bCs/>
                <w:color w:val="000000"/>
              </w:rPr>
            </w:pPr>
            <w:r w:rsidRPr="00B30677">
              <w:rPr>
                <w:b/>
                <w:bCs/>
                <w:color w:val="000000"/>
              </w:rPr>
              <w:t>A PAGAR 31/12</w:t>
            </w:r>
          </w:p>
        </w:tc>
        <w:tc>
          <w:tcPr>
            <w:tcW w:w="1559" w:type="dxa"/>
          </w:tcPr>
          <w:p w:rsidR="00430DBB" w:rsidRDefault="00430DBB" w:rsidP="001146BD">
            <w:pPr>
              <w:jc w:val="center"/>
              <w:rPr>
                <w:b/>
                <w:bCs/>
                <w:color w:val="000000"/>
              </w:rPr>
            </w:pPr>
            <w:r w:rsidRPr="00B30677">
              <w:rPr>
                <w:b/>
                <w:bCs/>
                <w:color w:val="000000"/>
              </w:rPr>
              <w:t>SALDO</w:t>
            </w:r>
          </w:p>
          <w:p w:rsidR="00D61DBC" w:rsidRPr="00B30677" w:rsidRDefault="00D61DBC" w:rsidP="001146B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31/12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 w:rsidRPr="00B30677">
              <w:rPr>
                <w:color w:val="000000"/>
              </w:rPr>
              <w:t>0001 – LIVRES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831.950,07</w:t>
            </w:r>
          </w:p>
        </w:tc>
        <w:tc>
          <w:tcPr>
            <w:tcW w:w="1418" w:type="dxa"/>
          </w:tcPr>
          <w:p w:rsidR="00430DBB" w:rsidRPr="005A67F9" w:rsidRDefault="008C7979" w:rsidP="008C7979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64305,92</w:t>
            </w:r>
          </w:p>
        </w:tc>
        <w:tc>
          <w:tcPr>
            <w:tcW w:w="1559" w:type="dxa"/>
            <w:vAlign w:val="bottom"/>
          </w:tcPr>
          <w:p w:rsidR="00430DBB" w:rsidRDefault="008C7979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767.644,15</w:t>
            </w:r>
            <w:r w:rsidR="00430D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30DBB" w:rsidRPr="001B1F11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 w:rsidRPr="00B30677">
              <w:rPr>
                <w:color w:val="000000"/>
              </w:rPr>
              <w:t>0020 – MDE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45.832,70</w:t>
            </w:r>
          </w:p>
        </w:tc>
        <w:tc>
          <w:tcPr>
            <w:tcW w:w="1418" w:type="dxa"/>
          </w:tcPr>
          <w:p w:rsidR="00430DBB" w:rsidRPr="005A67F9" w:rsidRDefault="001B1F11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6.925,46</w:t>
            </w:r>
          </w:p>
        </w:tc>
        <w:tc>
          <w:tcPr>
            <w:tcW w:w="1559" w:type="dxa"/>
            <w:vAlign w:val="bottom"/>
          </w:tcPr>
          <w:p w:rsidR="00430DBB" w:rsidRPr="001B1F11" w:rsidRDefault="001B1F11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B1F1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38.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907,24</w:t>
            </w:r>
            <w:r w:rsidR="00430DBB" w:rsidRPr="001B1F1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430DBB" w:rsidRPr="001B1F11" w:rsidTr="001146BD">
        <w:tc>
          <w:tcPr>
            <w:tcW w:w="4678" w:type="dxa"/>
          </w:tcPr>
          <w:p w:rsidR="00430DBB" w:rsidRPr="001B1F11" w:rsidRDefault="00430DBB" w:rsidP="001146BD">
            <w:pPr>
              <w:rPr>
                <w:color w:val="000000"/>
                <w:lang w:val="en-US"/>
              </w:rPr>
            </w:pPr>
            <w:r w:rsidRPr="001B1F11">
              <w:rPr>
                <w:color w:val="000000"/>
                <w:lang w:val="en-US"/>
              </w:rPr>
              <w:t>0031- FUNDEB</w:t>
            </w:r>
          </w:p>
        </w:tc>
        <w:tc>
          <w:tcPr>
            <w:tcW w:w="1559" w:type="dxa"/>
          </w:tcPr>
          <w:p w:rsidR="00430DBB" w:rsidRPr="001B1F11" w:rsidRDefault="00430DBB" w:rsidP="001146BD">
            <w:pPr>
              <w:jc w:val="right"/>
              <w:rPr>
                <w:bCs/>
                <w:color w:val="000000" w:themeColor="text1"/>
                <w:lang w:val="en-US"/>
              </w:rPr>
            </w:pPr>
            <w:r w:rsidRPr="001B1F11">
              <w:rPr>
                <w:bCs/>
                <w:color w:val="000000" w:themeColor="text1"/>
                <w:lang w:val="en-US"/>
              </w:rPr>
              <w:t>67.244,57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  <w:lang w:val="en-US"/>
              </w:rPr>
            </w:pPr>
            <w:r w:rsidRPr="005A67F9">
              <w:rPr>
                <w:b/>
                <w:bCs/>
                <w:lang w:val="en-US"/>
              </w:rPr>
              <w:t>10.084,14</w:t>
            </w:r>
          </w:p>
        </w:tc>
        <w:tc>
          <w:tcPr>
            <w:tcW w:w="1559" w:type="dxa"/>
            <w:vAlign w:val="bottom"/>
          </w:tcPr>
          <w:p w:rsidR="00430DBB" w:rsidRPr="001B1F11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B1F1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57.160,43 </w:t>
            </w:r>
          </w:p>
        </w:tc>
      </w:tr>
      <w:tr w:rsidR="00430DBB" w:rsidRPr="001B1F11" w:rsidTr="001146BD">
        <w:tc>
          <w:tcPr>
            <w:tcW w:w="4678" w:type="dxa"/>
          </w:tcPr>
          <w:p w:rsidR="00430DBB" w:rsidRPr="001B1F11" w:rsidRDefault="00430DBB" w:rsidP="001146BD">
            <w:pPr>
              <w:rPr>
                <w:color w:val="000000"/>
                <w:lang w:val="en-US"/>
              </w:rPr>
            </w:pPr>
            <w:r w:rsidRPr="001B1F11">
              <w:rPr>
                <w:color w:val="000000"/>
                <w:lang w:val="en-US"/>
              </w:rPr>
              <w:t>0040 – A S P S</w:t>
            </w:r>
          </w:p>
        </w:tc>
        <w:tc>
          <w:tcPr>
            <w:tcW w:w="1559" w:type="dxa"/>
          </w:tcPr>
          <w:p w:rsidR="00430DBB" w:rsidRPr="001B1F11" w:rsidRDefault="00430DBB" w:rsidP="001146BD">
            <w:pPr>
              <w:jc w:val="right"/>
              <w:rPr>
                <w:bCs/>
                <w:color w:val="000000" w:themeColor="text1"/>
                <w:lang w:val="en-US"/>
              </w:rPr>
            </w:pPr>
            <w:r w:rsidRPr="001B1F11">
              <w:rPr>
                <w:bCs/>
                <w:color w:val="000000" w:themeColor="text1"/>
                <w:lang w:val="en-US"/>
              </w:rPr>
              <w:t>109.088,21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  <w:lang w:val="en-US"/>
              </w:rPr>
            </w:pPr>
            <w:r w:rsidRPr="005A67F9">
              <w:rPr>
                <w:b/>
                <w:bCs/>
                <w:lang w:val="en-US"/>
              </w:rPr>
              <w:t>32.215,12</w:t>
            </w:r>
          </w:p>
        </w:tc>
        <w:tc>
          <w:tcPr>
            <w:tcW w:w="1559" w:type="dxa"/>
            <w:vAlign w:val="bottom"/>
          </w:tcPr>
          <w:p w:rsidR="00430DBB" w:rsidRPr="001B1F11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B1F11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        76.873,09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1B1F11" w:rsidRDefault="00430DBB" w:rsidP="001146BD">
            <w:pPr>
              <w:rPr>
                <w:color w:val="000000"/>
                <w:lang w:val="en-US"/>
              </w:rPr>
            </w:pPr>
            <w:r w:rsidRPr="001B1F11">
              <w:rPr>
                <w:color w:val="000000"/>
                <w:lang w:val="en-US"/>
              </w:rPr>
              <w:t>0050-RPPS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1B1F11">
              <w:rPr>
                <w:bCs/>
                <w:color w:val="000000" w:themeColor="text1"/>
                <w:lang w:val="en-US"/>
              </w:rPr>
              <w:t>2</w:t>
            </w:r>
            <w:r w:rsidRPr="00A266F8">
              <w:rPr>
                <w:bCs/>
                <w:color w:val="000000" w:themeColor="text1"/>
              </w:rPr>
              <w:t>4.404.804,44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17,58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24.404.786,8</w:t>
            </w:r>
            <w:r w:rsidR="001B1F1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proofErr w:type="gramStart"/>
            <w:r w:rsidRPr="00B30677">
              <w:rPr>
                <w:color w:val="000000"/>
              </w:rPr>
              <w:t>1050- SALÁRIO</w:t>
            </w:r>
            <w:proofErr w:type="gramEnd"/>
            <w:r w:rsidRPr="00B30677">
              <w:rPr>
                <w:color w:val="000000"/>
              </w:rPr>
              <w:t xml:space="preserve"> EDUCAÇÃO (FNDE</w:t>
            </w:r>
          </w:p>
        </w:tc>
        <w:tc>
          <w:tcPr>
            <w:tcW w:w="1559" w:type="dxa"/>
          </w:tcPr>
          <w:p w:rsidR="00430DBB" w:rsidRPr="00A266F8" w:rsidRDefault="001B1F11" w:rsidP="001146BD">
            <w:pPr>
              <w:jc w:val="righ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87.657,21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31,40</w:t>
            </w:r>
          </w:p>
        </w:tc>
        <w:tc>
          <w:tcPr>
            <w:tcW w:w="1559" w:type="dxa"/>
            <w:vAlign w:val="bottom"/>
          </w:tcPr>
          <w:p w:rsidR="00430DBB" w:rsidRDefault="001B1F11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87.625,81</w:t>
            </w:r>
            <w:r w:rsidR="00430D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CD646C" w:rsidRDefault="00430DBB" w:rsidP="001146BD">
            <w:pPr>
              <w:pStyle w:val="Rodap"/>
              <w:tabs>
                <w:tab w:val="clear" w:pos="4419"/>
                <w:tab w:val="clear" w:pos="8838"/>
              </w:tabs>
              <w:rPr>
                <w:rFonts w:ascii="Times New Roman" w:hAnsi="Times New Roman"/>
                <w:color w:val="000000"/>
                <w:sz w:val="20"/>
              </w:rPr>
            </w:pPr>
            <w:r w:rsidRPr="00CD646C">
              <w:rPr>
                <w:rFonts w:ascii="Times New Roman" w:hAnsi="Times New Roman"/>
                <w:bCs/>
                <w:color w:val="000000"/>
                <w:sz w:val="20"/>
              </w:rPr>
              <w:t>1094- PROGRAMA CREAS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26.576,91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104,40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26.472,51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 w:rsidRPr="00B30677">
              <w:rPr>
                <w:color w:val="000000"/>
              </w:rPr>
              <w:t>1139- CREAS/PAEFI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18.978,36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0,25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18.978,11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 w:rsidRPr="00B30677">
              <w:rPr>
                <w:color w:val="000000"/>
              </w:rPr>
              <w:t>1152-AQUISIÇÃO DE BENS MOVEIS-PAR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18.804,81</w:t>
            </w:r>
          </w:p>
        </w:tc>
        <w:tc>
          <w:tcPr>
            <w:tcW w:w="1418" w:type="dxa"/>
          </w:tcPr>
          <w:p w:rsidR="00430DBB" w:rsidRPr="005A67F9" w:rsidRDefault="001B1F11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36.730,00</w:t>
            </w:r>
          </w:p>
        </w:tc>
        <w:tc>
          <w:tcPr>
            <w:tcW w:w="1559" w:type="dxa"/>
            <w:vAlign w:val="bottom"/>
          </w:tcPr>
          <w:p w:rsidR="00430DBB" w:rsidRDefault="001B1F11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-17.925,19</w:t>
            </w:r>
            <w:r w:rsidR="00430D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 w:rsidRPr="00B30677">
              <w:rPr>
                <w:color w:val="000000"/>
              </w:rPr>
              <w:t>1161- CONSTR</w:t>
            </w:r>
            <w:r>
              <w:rPr>
                <w:color w:val="000000"/>
              </w:rPr>
              <w:t xml:space="preserve">. </w:t>
            </w:r>
            <w:r w:rsidRPr="00B30677">
              <w:rPr>
                <w:color w:val="000000"/>
              </w:rPr>
              <w:t>QUADRA ESCOLAR COM VESTIARIO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80.213,55</w:t>
            </w:r>
          </w:p>
        </w:tc>
        <w:tc>
          <w:tcPr>
            <w:tcW w:w="1418" w:type="dxa"/>
          </w:tcPr>
          <w:p w:rsidR="00430DBB" w:rsidRPr="005A67F9" w:rsidRDefault="001B1F11" w:rsidP="001B1F11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184.239,80</w:t>
            </w:r>
          </w:p>
        </w:tc>
        <w:tc>
          <w:tcPr>
            <w:tcW w:w="1559" w:type="dxa"/>
            <w:vAlign w:val="bottom"/>
          </w:tcPr>
          <w:p w:rsidR="00430DBB" w:rsidRDefault="001B1F11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-104.026,25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>
              <w:rPr>
                <w:color w:val="000000"/>
              </w:rPr>
              <w:t>1163-SCFV-Serv.Conv.e Fortalec. De Vinculos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18.943,08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2.350,00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16.593,08 </w:t>
            </w:r>
          </w:p>
        </w:tc>
      </w:tr>
      <w:tr w:rsidR="00430DBB" w:rsidRPr="00B30677" w:rsidTr="001146BD">
        <w:trPr>
          <w:trHeight w:val="279"/>
        </w:trPr>
        <w:tc>
          <w:tcPr>
            <w:tcW w:w="4678" w:type="dxa"/>
          </w:tcPr>
          <w:p w:rsidR="00430DBB" w:rsidRDefault="00430DBB" w:rsidP="001146BD">
            <w:pPr>
              <w:rPr>
                <w:color w:val="000000"/>
              </w:rPr>
            </w:pPr>
            <w:r>
              <w:rPr>
                <w:color w:val="000000"/>
              </w:rPr>
              <w:t>1171- FUNDOS MUNICIPAIS DO MEIO AMBIENTE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1.311,65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278,74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1.032,91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>
              <w:rPr>
                <w:color w:val="000000"/>
              </w:rPr>
              <w:t>1172-FUNDO MUNICIPAL DE ASSISTENCIA SOCIAL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3.000,99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2780,41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220,58 </w:t>
            </w:r>
          </w:p>
        </w:tc>
      </w:tr>
      <w:tr w:rsidR="00430DBB" w:rsidRPr="00B30677" w:rsidTr="001146BD">
        <w:tc>
          <w:tcPr>
            <w:tcW w:w="4678" w:type="dxa"/>
            <w:shd w:val="clear" w:color="auto" w:fill="FFFFFF"/>
          </w:tcPr>
          <w:p w:rsidR="00430DBB" w:rsidRDefault="00430DBB" w:rsidP="001146BD">
            <w:pPr>
              <w:rPr>
                <w:color w:val="000000"/>
              </w:rPr>
            </w:pPr>
            <w:r>
              <w:rPr>
                <w:color w:val="000000"/>
              </w:rPr>
              <w:t>1173- FUNDOS MUNICIPAL DE HABITAÇÃO</w:t>
            </w:r>
          </w:p>
        </w:tc>
        <w:tc>
          <w:tcPr>
            <w:tcW w:w="1559" w:type="dxa"/>
            <w:shd w:val="clear" w:color="auto" w:fill="FFFFFF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1.007,22</w:t>
            </w:r>
          </w:p>
        </w:tc>
        <w:tc>
          <w:tcPr>
            <w:tcW w:w="1418" w:type="dxa"/>
            <w:shd w:val="clear" w:color="auto" w:fill="FFFFFF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532,84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474,38 </w:t>
            </w:r>
          </w:p>
        </w:tc>
      </w:tr>
      <w:tr w:rsidR="00430DBB" w:rsidRPr="00B30677" w:rsidTr="001146BD">
        <w:tc>
          <w:tcPr>
            <w:tcW w:w="4678" w:type="dxa"/>
            <w:shd w:val="clear" w:color="auto" w:fill="FFFFFF"/>
          </w:tcPr>
          <w:p w:rsidR="00430DBB" w:rsidRDefault="00430DBB" w:rsidP="001146BD">
            <w:pPr>
              <w:rPr>
                <w:color w:val="000000"/>
              </w:rPr>
            </w:pPr>
            <w:r>
              <w:rPr>
                <w:color w:val="000000"/>
              </w:rPr>
              <w:t>1174-FUNDO MUNIC. DE ILUMINAÇÃO PUBLICA.</w:t>
            </w:r>
          </w:p>
        </w:tc>
        <w:tc>
          <w:tcPr>
            <w:tcW w:w="1559" w:type="dxa"/>
            <w:shd w:val="clear" w:color="auto" w:fill="FFFFFF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64.511,78</w:t>
            </w:r>
          </w:p>
        </w:tc>
        <w:tc>
          <w:tcPr>
            <w:tcW w:w="1418" w:type="dxa"/>
            <w:shd w:val="clear" w:color="auto" w:fill="FFFFFF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11.862,92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52.648,86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 w:rsidRPr="00B30677">
              <w:rPr>
                <w:color w:val="000000"/>
              </w:rPr>
              <w:t>1178-PROGRAMA PAR- AQUIS. DE BRINQUEDO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6.785,99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4614,78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2.171,21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color w:val="000000"/>
              </w:rPr>
            </w:pPr>
            <w:r>
              <w:rPr>
                <w:color w:val="000000"/>
              </w:rPr>
              <w:t>1185- PAVIMENTAÇÃO ASFALTICA  CT.REP Nº 805533/2014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136.919,78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124.990,14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11.929,64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Default="00430DBB" w:rsidP="001146BD">
            <w:pPr>
              <w:rPr>
                <w:color w:val="000000"/>
              </w:rPr>
            </w:pPr>
            <w:r w:rsidRPr="00B30677">
              <w:rPr>
                <w:color w:val="000000"/>
              </w:rPr>
              <w:t>4011-INCENTIVO ATENÇÃO BASICA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3.207,16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1907,00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1.300,16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Pr="00B30677" w:rsidRDefault="00430DBB" w:rsidP="001146BD">
            <w:pPr>
              <w:rPr>
                <w:bCs/>
                <w:color w:val="000000"/>
              </w:rPr>
            </w:pPr>
            <w:r w:rsidRPr="00B30677">
              <w:rPr>
                <w:bCs/>
                <w:color w:val="000000"/>
              </w:rPr>
              <w:t>4160-PRIMEIRA INFANCIA MELHOR-PIM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24.048,31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33,70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24.014,61 </w:t>
            </w:r>
          </w:p>
        </w:tc>
      </w:tr>
      <w:tr w:rsidR="00430DBB" w:rsidRPr="00B30677" w:rsidTr="001146BD">
        <w:tc>
          <w:tcPr>
            <w:tcW w:w="4678" w:type="dxa"/>
          </w:tcPr>
          <w:p w:rsidR="00430DBB" w:rsidRDefault="00430DBB" w:rsidP="001146BD">
            <w:pPr>
              <w:rPr>
                <w:color w:val="000000"/>
              </w:rPr>
            </w:pPr>
            <w:r w:rsidRPr="00B30677">
              <w:rPr>
                <w:bCs/>
                <w:color w:val="000000"/>
              </w:rPr>
              <w:t>4510- PAB-FIXO</w:t>
            </w:r>
          </w:p>
        </w:tc>
        <w:tc>
          <w:tcPr>
            <w:tcW w:w="1559" w:type="dxa"/>
          </w:tcPr>
          <w:p w:rsidR="00430DBB" w:rsidRPr="00A266F8" w:rsidRDefault="00430DBB" w:rsidP="001146BD">
            <w:pPr>
              <w:jc w:val="right"/>
              <w:rPr>
                <w:bCs/>
                <w:color w:val="000000" w:themeColor="text1"/>
              </w:rPr>
            </w:pPr>
            <w:r w:rsidRPr="00A266F8">
              <w:rPr>
                <w:bCs/>
                <w:color w:val="000000" w:themeColor="text1"/>
              </w:rPr>
              <w:t>17.777,44</w:t>
            </w: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1.934,75</w:t>
            </w:r>
          </w:p>
        </w:tc>
        <w:tc>
          <w:tcPr>
            <w:tcW w:w="1559" w:type="dxa"/>
            <w:vAlign w:val="bottom"/>
          </w:tcPr>
          <w:p w:rsidR="00430DBB" w:rsidRDefault="00430DBB" w:rsidP="001B1F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15.842,69 </w:t>
            </w:r>
          </w:p>
        </w:tc>
      </w:tr>
      <w:tr w:rsidR="00430DBB" w:rsidRPr="00B30677" w:rsidTr="001146BD">
        <w:trPr>
          <w:trHeight w:val="246"/>
        </w:trPr>
        <w:tc>
          <w:tcPr>
            <w:tcW w:w="4678" w:type="dxa"/>
          </w:tcPr>
          <w:p w:rsidR="00430DBB" w:rsidRDefault="00430DBB" w:rsidP="001146B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430DBB" w:rsidRDefault="00430DBB" w:rsidP="001146B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418" w:type="dxa"/>
          </w:tcPr>
          <w:p w:rsidR="00430DBB" w:rsidRPr="005A67F9" w:rsidRDefault="00430DBB" w:rsidP="001146BD">
            <w:pPr>
              <w:jc w:val="right"/>
              <w:rPr>
                <w:b/>
                <w:bCs/>
              </w:rPr>
            </w:pPr>
          </w:p>
        </w:tc>
        <w:tc>
          <w:tcPr>
            <w:tcW w:w="1559" w:type="dxa"/>
          </w:tcPr>
          <w:p w:rsidR="00430DBB" w:rsidRDefault="00430DBB" w:rsidP="001B1F11">
            <w:pPr>
              <w:jc w:val="right"/>
              <w:rPr>
                <w:bCs/>
                <w:color w:val="000000"/>
              </w:rPr>
            </w:pPr>
          </w:p>
        </w:tc>
      </w:tr>
      <w:tr w:rsidR="00430DBB" w:rsidRPr="00B30677" w:rsidTr="001B1F11">
        <w:trPr>
          <w:trHeight w:val="257"/>
        </w:trPr>
        <w:tc>
          <w:tcPr>
            <w:tcW w:w="4678" w:type="dxa"/>
          </w:tcPr>
          <w:p w:rsidR="00430DBB" w:rsidRPr="00321666" w:rsidRDefault="00430DBB" w:rsidP="001146BD">
            <w:pPr>
              <w:pStyle w:val="Ttulo5"/>
              <w:rPr>
                <w:bCs w:val="0"/>
                <w:color w:val="000000"/>
                <w:sz w:val="20"/>
              </w:rPr>
            </w:pPr>
            <w:r w:rsidRPr="00321666">
              <w:rPr>
                <w:bCs w:val="0"/>
                <w:color w:val="000000"/>
                <w:sz w:val="20"/>
              </w:rPr>
              <w:t>TOTAL</w:t>
            </w:r>
          </w:p>
        </w:tc>
        <w:tc>
          <w:tcPr>
            <w:tcW w:w="1559" w:type="dxa"/>
          </w:tcPr>
          <w:p w:rsidR="00430DBB" w:rsidRPr="00AE6391" w:rsidRDefault="00430DBB" w:rsidP="001B1F11">
            <w:pPr>
              <w:jc w:val="right"/>
              <w:rPr>
                <w:b/>
                <w:bCs/>
                <w:color w:val="000000"/>
              </w:rPr>
            </w:pPr>
            <w:r w:rsidRPr="00AE639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25.</w:t>
            </w:r>
            <w:r w:rsidR="001B1F1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968.664,23</w:t>
            </w:r>
          </w:p>
        </w:tc>
        <w:tc>
          <w:tcPr>
            <w:tcW w:w="1418" w:type="dxa"/>
          </w:tcPr>
          <w:p w:rsidR="00430DBB" w:rsidRPr="005A67F9" w:rsidRDefault="001B1F11" w:rsidP="001146BD">
            <w:pPr>
              <w:jc w:val="right"/>
              <w:rPr>
                <w:b/>
                <w:bCs/>
              </w:rPr>
            </w:pPr>
            <w:r w:rsidRPr="005A67F9">
              <w:rPr>
                <w:b/>
                <w:bCs/>
              </w:rPr>
              <w:t>485.939,18</w:t>
            </w:r>
          </w:p>
        </w:tc>
        <w:tc>
          <w:tcPr>
            <w:tcW w:w="1559" w:type="dxa"/>
          </w:tcPr>
          <w:p w:rsidR="00430DBB" w:rsidRPr="00AE6391" w:rsidRDefault="001B1F11" w:rsidP="001B1F1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25.482.725,05</w:t>
            </w:r>
          </w:p>
        </w:tc>
      </w:tr>
    </w:tbl>
    <w:p w:rsidR="001B1F11" w:rsidRDefault="001B1F11" w:rsidP="00430DBB">
      <w:pPr>
        <w:autoSpaceDE w:val="0"/>
        <w:autoSpaceDN w:val="0"/>
        <w:adjustRightInd w:val="0"/>
        <w:ind w:firstLine="708"/>
        <w:jc w:val="both"/>
        <w:rPr>
          <w:color w:val="00B0F0"/>
          <w:sz w:val="24"/>
          <w:szCs w:val="24"/>
        </w:rPr>
      </w:pPr>
    </w:p>
    <w:p w:rsidR="00430DBB" w:rsidRPr="005A67F9" w:rsidRDefault="00430DBB" w:rsidP="00430DB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5A67F9">
        <w:rPr>
          <w:sz w:val="24"/>
          <w:szCs w:val="24"/>
        </w:rPr>
        <w:t>Analisando-se o quadro acima, verifica-se suficiência financeira para a inscrição de empenhos em restos a pagar no exercício 2016. Juntaram-se os processados</w:t>
      </w:r>
      <w:r w:rsidR="001B1F11" w:rsidRPr="005A67F9">
        <w:rPr>
          <w:sz w:val="24"/>
          <w:szCs w:val="24"/>
        </w:rPr>
        <w:t xml:space="preserve"> e não processados</w:t>
      </w:r>
      <w:proofErr w:type="gramStart"/>
      <w:r w:rsidR="001B1F11" w:rsidRPr="005A67F9">
        <w:rPr>
          <w:sz w:val="24"/>
          <w:szCs w:val="24"/>
        </w:rPr>
        <w:t xml:space="preserve"> </w:t>
      </w:r>
      <w:r w:rsidRPr="005A67F9">
        <w:rPr>
          <w:sz w:val="24"/>
          <w:szCs w:val="24"/>
        </w:rPr>
        <w:t xml:space="preserve"> </w:t>
      </w:r>
      <w:proofErr w:type="gramEnd"/>
      <w:r w:rsidRPr="005A67F9">
        <w:rPr>
          <w:sz w:val="24"/>
          <w:szCs w:val="24"/>
        </w:rPr>
        <w:t>no montante de R$,</w:t>
      </w:r>
      <w:r w:rsidR="001B1F11" w:rsidRPr="005A67F9">
        <w:rPr>
          <w:sz w:val="24"/>
          <w:szCs w:val="24"/>
        </w:rPr>
        <w:t xml:space="preserve"> 485.939,18 </w:t>
      </w:r>
      <w:r w:rsidRPr="005A67F9">
        <w:rPr>
          <w:sz w:val="24"/>
          <w:szCs w:val="24"/>
        </w:rPr>
        <w:t>, totalizando no exercício de 2016</w:t>
      </w:r>
      <w:r w:rsidR="00E44BDC" w:rsidRPr="005A67F9">
        <w:rPr>
          <w:sz w:val="24"/>
          <w:szCs w:val="24"/>
        </w:rPr>
        <w:t xml:space="preserve"> </w:t>
      </w:r>
      <w:r w:rsidR="001B1F11" w:rsidRPr="005A67F9">
        <w:rPr>
          <w:sz w:val="24"/>
          <w:szCs w:val="24"/>
        </w:rPr>
        <w:t>,</w:t>
      </w:r>
      <w:r w:rsidRPr="005A67F9">
        <w:rPr>
          <w:sz w:val="24"/>
          <w:szCs w:val="24"/>
        </w:rPr>
        <w:t>conforme a demonstração do Modelo 9- Demonstrativos dos limites-RGF.</w:t>
      </w:r>
    </w:p>
    <w:p w:rsidR="00430DBB" w:rsidRPr="005A67F9" w:rsidRDefault="00430DBB" w:rsidP="00430DB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924FF" w:rsidRPr="009B0CB4" w:rsidRDefault="00F924FF">
      <w:pPr>
        <w:tabs>
          <w:tab w:val="left" w:pos="4253"/>
        </w:tabs>
        <w:spacing w:before="120" w:line="360" w:lineRule="auto"/>
        <w:jc w:val="center"/>
        <w:rPr>
          <w:b/>
          <w:sz w:val="24"/>
          <w:szCs w:val="24"/>
        </w:rPr>
      </w:pPr>
      <w:r w:rsidRPr="009B0CB4">
        <w:rPr>
          <w:b/>
          <w:sz w:val="24"/>
          <w:szCs w:val="24"/>
        </w:rPr>
        <w:t>DEMONSTRATIVOS FINANCEIROS:</w:t>
      </w:r>
    </w:p>
    <w:p w:rsidR="00C54870" w:rsidRDefault="00F4094C" w:rsidP="00A742E2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430DBB">
        <w:rPr>
          <w:b/>
          <w:sz w:val="24"/>
          <w:szCs w:val="24"/>
        </w:rPr>
        <w:t>.</w:t>
      </w:r>
      <w:r w:rsidR="005257A6">
        <w:rPr>
          <w:b/>
          <w:sz w:val="24"/>
          <w:szCs w:val="24"/>
        </w:rPr>
        <w:t xml:space="preserve"> </w:t>
      </w:r>
      <w:r w:rsidR="005257A6" w:rsidRPr="005257A6">
        <w:rPr>
          <w:sz w:val="24"/>
          <w:szCs w:val="24"/>
        </w:rPr>
        <w:t>Analisando</w:t>
      </w:r>
      <w:r w:rsidR="00E44BDC">
        <w:rPr>
          <w:b/>
          <w:sz w:val="24"/>
          <w:szCs w:val="24"/>
        </w:rPr>
        <w:t xml:space="preserve"> </w:t>
      </w:r>
      <w:r w:rsidR="00F924FF" w:rsidRPr="009B0CB4">
        <w:rPr>
          <w:sz w:val="24"/>
          <w:szCs w:val="24"/>
        </w:rPr>
        <w:t>os principais demonstrativos financeiros que compõem o Balanço Geral do Município, especificamente o Balanço Financeiro (anexo 13), Balanço Patrimonial (anexo 14)</w:t>
      </w:r>
      <w:r w:rsidR="00B52539">
        <w:rPr>
          <w:sz w:val="24"/>
          <w:szCs w:val="24"/>
        </w:rPr>
        <w:t xml:space="preserve"> </w:t>
      </w:r>
      <w:r w:rsidR="00F924FF" w:rsidRPr="009B0CB4">
        <w:rPr>
          <w:sz w:val="24"/>
          <w:szCs w:val="24"/>
        </w:rPr>
        <w:t xml:space="preserve">e a Demonstração das Variações Patrimoniais (anexo 15), verificou-se o atendimento das normas legais </w:t>
      </w:r>
      <w:r w:rsidR="00E44BDC" w:rsidRPr="009B0CB4">
        <w:rPr>
          <w:sz w:val="24"/>
          <w:szCs w:val="24"/>
        </w:rPr>
        <w:t>vigentes.</w:t>
      </w:r>
    </w:p>
    <w:p w:rsidR="00C9284A" w:rsidRDefault="00F924FF" w:rsidP="00C9284A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 w:rsidRPr="009B0CB4">
        <w:rPr>
          <w:b/>
          <w:sz w:val="24"/>
          <w:szCs w:val="24"/>
        </w:rPr>
        <w:t>a)</w:t>
      </w:r>
      <w:r w:rsidRPr="009B0CB4">
        <w:rPr>
          <w:sz w:val="24"/>
          <w:szCs w:val="24"/>
        </w:rPr>
        <w:t xml:space="preserve"> Balanço Financeiro: verificou-se a consistência das informações, comparando-se os dados constantes no demonstrativo com os saldos do balancete de verificação contábil de </w:t>
      </w:r>
      <w:r w:rsidR="00E44BDC" w:rsidRPr="009B0CB4">
        <w:rPr>
          <w:sz w:val="24"/>
          <w:szCs w:val="24"/>
        </w:rPr>
        <w:t>31/12/2</w:t>
      </w:r>
      <w:r w:rsidR="00E44BDC">
        <w:rPr>
          <w:sz w:val="24"/>
          <w:szCs w:val="24"/>
        </w:rPr>
        <w:t>016.</w:t>
      </w:r>
    </w:p>
    <w:p w:rsidR="00F924FF" w:rsidRPr="00CE14CE" w:rsidRDefault="00C9284A" w:rsidP="00C9284A">
      <w:pPr>
        <w:tabs>
          <w:tab w:val="left" w:pos="3402"/>
        </w:tabs>
        <w:spacing w:before="12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F924FF" w:rsidRPr="00CE14CE">
        <w:rPr>
          <w:sz w:val="24"/>
          <w:szCs w:val="24"/>
        </w:rPr>
        <w:t xml:space="preserve">Demonstração das Variações Patrimoniais: a consistência da apuração do resultado do exercício </w:t>
      </w:r>
      <w:r>
        <w:rPr>
          <w:sz w:val="24"/>
          <w:szCs w:val="24"/>
        </w:rPr>
        <w:t>confere com os demonstrativos</w:t>
      </w:r>
      <w:r w:rsidR="00E44BDC">
        <w:rPr>
          <w:sz w:val="24"/>
          <w:szCs w:val="24"/>
        </w:rPr>
        <w:t xml:space="preserve"> </w:t>
      </w:r>
      <w:r w:rsidR="00F924FF" w:rsidRPr="00CE14CE">
        <w:rPr>
          <w:sz w:val="24"/>
          <w:szCs w:val="24"/>
        </w:rPr>
        <w:t>contábil de 31/12/</w:t>
      </w:r>
      <w:r w:rsidR="00C54870" w:rsidRPr="00CE14CE">
        <w:rPr>
          <w:sz w:val="24"/>
          <w:szCs w:val="24"/>
        </w:rPr>
        <w:t>201</w:t>
      </w:r>
      <w:r w:rsidR="00B52539">
        <w:rPr>
          <w:sz w:val="24"/>
          <w:szCs w:val="24"/>
        </w:rPr>
        <w:t>6</w:t>
      </w:r>
      <w:r w:rsidR="00C54870" w:rsidRPr="00CE14CE">
        <w:rPr>
          <w:sz w:val="24"/>
          <w:szCs w:val="24"/>
        </w:rPr>
        <w:t>.</w:t>
      </w:r>
    </w:p>
    <w:p w:rsidR="00672F9F" w:rsidRPr="005257A6" w:rsidRDefault="00F924FF" w:rsidP="00632F16">
      <w:pPr>
        <w:numPr>
          <w:ilvl w:val="0"/>
          <w:numId w:val="4"/>
        </w:numPr>
        <w:tabs>
          <w:tab w:val="num" w:pos="1134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5257A6">
        <w:rPr>
          <w:sz w:val="24"/>
          <w:szCs w:val="24"/>
        </w:rPr>
        <w:lastRenderedPageBreak/>
        <w:t>Balanço Patrimonial: para fins de verificação da consistência das informações constantes do demonstrativo (anexo 14)</w:t>
      </w:r>
      <w:r w:rsidR="005257A6" w:rsidRPr="005257A6">
        <w:rPr>
          <w:sz w:val="24"/>
          <w:szCs w:val="24"/>
        </w:rPr>
        <w:t>,</w:t>
      </w:r>
      <w:r w:rsidR="005257A6">
        <w:rPr>
          <w:sz w:val="24"/>
          <w:szCs w:val="24"/>
        </w:rPr>
        <w:t xml:space="preserve"> </w:t>
      </w:r>
      <w:r w:rsidR="00E44BDC">
        <w:rPr>
          <w:sz w:val="24"/>
          <w:szCs w:val="24"/>
        </w:rPr>
        <w:t>a</w:t>
      </w:r>
      <w:r w:rsidR="00E44BDC" w:rsidRPr="005257A6">
        <w:rPr>
          <w:sz w:val="24"/>
          <w:szCs w:val="24"/>
        </w:rPr>
        <w:t>s informações coincidem</w:t>
      </w:r>
      <w:r w:rsidRPr="005257A6">
        <w:rPr>
          <w:sz w:val="24"/>
          <w:szCs w:val="24"/>
        </w:rPr>
        <w:t xml:space="preserve"> com o Saldo Patrimonial constante do Balanço Patrimonial,</w:t>
      </w:r>
      <w:r w:rsidR="00E44BDC" w:rsidRPr="005257A6">
        <w:rPr>
          <w:sz w:val="24"/>
          <w:szCs w:val="24"/>
        </w:rPr>
        <w:t xml:space="preserve"> </w:t>
      </w:r>
      <w:r w:rsidR="00B30677" w:rsidRPr="005257A6">
        <w:rPr>
          <w:sz w:val="24"/>
          <w:szCs w:val="24"/>
        </w:rPr>
        <w:t>Saldo patrimonial exercício 201</w:t>
      </w:r>
      <w:r w:rsidR="00B52539" w:rsidRPr="005257A6">
        <w:rPr>
          <w:sz w:val="24"/>
          <w:szCs w:val="24"/>
        </w:rPr>
        <w:t>6</w:t>
      </w:r>
      <w:r w:rsidR="00DE6136" w:rsidRPr="005257A6">
        <w:rPr>
          <w:sz w:val="24"/>
          <w:szCs w:val="24"/>
        </w:rPr>
        <w:t>.</w:t>
      </w:r>
      <w:r w:rsidR="00B30677" w:rsidRPr="005257A6">
        <w:rPr>
          <w:sz w:val="24"/>
          <w:szCs w:val="24"/>
        </w:rPr>
        <w:t xml:space="preserve"> </w:t>
      </w:r>
    </w:p>
    <w:p w:rsidR="00DE6136" w:rsidRPr="005257A6" w:rsidRDefault="00430DBB" w:rsidP="00DE6136">
      <w:pPr>
        <w:pStyle w:val="Corpodetexto"/>
        <w:tabs>
          <w:tab w:val="left" w:pos="1134"/>
        </w:tabs>
        <w:rPr>
          <w:color w:val="000000" w:themeColor="text1"/>
          <w:sz w:val="22"/>
          <w:szCs w:val="19"/>
        </w:rPr>
      </w:pPr>
      <w:r w:rsidRPr="005257A6">
        <w:rPr>
          <w:b/>
          <w:color w:val="000000" w:themeColor="text1"/>
          <w:sz w:val="24"/>
          <w:szCs w:val="24"/>
        </w:rPr>
        <w:t xml:space="preserve">               </w:t>
      </w:r>
      <w:r w:rsidR="00F4094C">
        <w:rPr>
          <w:b/>
          <w:color w:val="000000" w:themeColor="text1"/>
          <w:sz w:val="24"/>
          <w:szCs w:val="24"/>
        </w:rPr>
        <w:t>9</w:t>
      </w:r>
      <w:r w:rsidR="00DE6136" w:rsidRPr="005257A6">
        <w:rPr>
          <w:b/>
          <w:color w:val="000000" w:themeColor="text1"/>
          <w:sz w:val="22"/>
          <w:szCs w:val="19"/>
        </w:rPr>
        <w:t xml:space="preserve">. </w:t>
      </w:r>
      <w:r w:rsidR="00DE6136" w:rsidRPr="005257A6">
        <w:rPr>
          <w:color w:val="000000" w:themeColor="text1"/>
          <w:sz w:val="22"/>
          <w:szCs w:val="19"/>
        </w:rPr>
        <w:t>A dívida consolidada líquida do</w:t>
      </w:r>
      <w:r w:rsidR="00E44BDC" w:rsidRPr="005257A6">
        <w:rPr>
          <w:color w:val="000000" w:themeColor="text1"/>
          <w:sz w:val="22"/>
          <w:szCs w:val="19"/>
        </w:rPr>
        <w:t xml:space="preserve"> </w:t>
      </w:r>
      <w:r w:rsidR="00DE6136" w:rsidRPr="005257A6">
        <w:rPr>
          <w:color w:val="000000" w:themeColor="text1"/>
          <w:sz w:val="22"/>
          <w:szCs w:val="19"/>
        </w:rPr>
        <w:t>Executivo</w:t>
      </w:r>
      <w:r w:rsidR="00E44BDC" w:rsidRPr="005257A6">
        <w:rPr>
          <w:color w:val="000000" w:themeColor="text1"/>
          <w:sz w:val="22"/>
          <w:szCs w:val="19"/>
        </w:rPr>
        <w:t xml:space="preserve"> apresentou</w:t>
      </w:r>
      <w:r w:rsidR="00DE6136" w:rsidRPr="005257A6">
        <w:rPr>
          <w:color w:val="000000" w:themeColor="text1"/>
          <w:sz w:val="22"/>
          <w:szCs w:val="19"/>
        </w:rPr>
        <w:t xml:space="preserve"> a seguinte posição em 31 de</w:t>
      </w:r>
      <w:r w:rsidR="00E44BDC" w:rsidRPr="005257A6">
        <w:rPr>
          <w:color w:val="000000" w:themeColor="text1"/>
          <w:sz w:val="22"/>
          <w:szCs w:val="19"/>
        </w:rPr>
        <w:t xml:space="preserve"> </w:t>
      </w:r>
      <w:r w:rsidR="00DE6136" w:rsidRPr="005257A6">
        <w:rPr>
          <w:color w:val="000000" w:themeColor="text1"/>
          <w:sz w:val="22"/>
          <w:szCs w:val="19"/>
        </w:rPr>
        <w:t>dezembro de 2016</w:t>
      </w:r>
      <w:r w:rsidR="00E44BDC" w:rsidRPr="005257A6">
        <w:rPr>
          <w:color w:val="000000" w:themeColor="text1"/>
          <w:sz w:val="22"/>
          <w:szCs w:val="19"/>
        </w:rPr>
        <w:t xml:space="preserve"> </w:t>
      </w:r>
      <w:r w:rsidR="00DE6136" w:rsidRPr="005257A6">
        <w:rPr>
          <w:color w:val="000000" w:themeColor="text1"/>
          <w:sz w:val="22"/>
          <w:szCs w:val="19"/>
        </w:rPr>
        <w:t>a qual atende ao disposto na Resolução nº 40/2001 do Senado Federal:</w:t>
      </w:r>
    </w:p>
    <w:p w:rsidR="00DE6136" w:rsidRPr="005257A6" w:rsidRDefault="00DE6136" w:rsidP="00DE6136">
      <w:pPr>
        <w:pStyle w:val="Ttulo2"/>
        <w:rPr>
          <w:color w:val="000000" w:themeColor="text1"/>
          <w:sz w:val="22"/>
          <w:szCs w:val="19"/>
        </w:rPr>
      </w:pPr>
      <w:r w:rsidRPr="005257A6">
        <w:rPr>
          <w:color w:val="000000" w:themeColor="text1"/>
          <w:sz w:val="22"/>
          <w:szCs w:val="19"/>
        </w:rPr>
        <w:t>DÍVIDA CONSOLIDADA LÍQUIDA</w:t>
      </w:r>
    </w:p>
    <w:p w:rsidR="00DE6136" w:rsidRPr="005257A6" w:rsidRDefault="00DE6136" w:rsidP="00DE6136">
      <w:pPr>
        <w:rPr>
          <w:color w:val="000000" w:themeColor="text1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1"/>
        <w:gridCol w:w="2333"/>
        <w:gridCol w:w="1101"/>
      </w:tblGrid>
      <w:tr w:rsidR="005257A6" w:rsidRPr="005257A6" w:rsidTr="001146BD">
        <w:tc>
          <w:tcPr>
            <w:tcW w:w="5991" w:type="dxa"/>
          </w:tcPr>
          <w:p w:rsidR="00DE6136" w:rsidRPr="005257A6" w:rsidRDefault="00DE6136" w:rsidP="001146BD">
            <w:pPr>
              <w:tabs>
                <w:tab w:val="left" w:pos="4253"/>
              </w:tabs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5257A6">
              <w:rPr>
                <w:color w:val="000000" w:themeColor="text1"/>
                <w:sz w:val="22"/>
                <w:szCs w:val="22"/>
              </w:rPr>
              <w:t>Receita Corrente Líquida R C L</w:t>
            </w:r>
          </w:p>
        </w:tc>
        <w:tc>
          <w:tcPr>
            <w:tcW w:w="2333" w:type="dxa"/>
          </w:tcPr>
          <w:p w:rsidR="00DE6136" w:rsidRPr="005257A6" w:rsidRDefault="00DE6136" w:rsidP="001146BD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before="120"/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</w:pPr>
            <w:r w:rsidRPr="005257A6">
              <w:rPr>
                <w:rFonts w:ascii="Times New Roman" w:hAnsi="Times New Roman"/>
                <w:b/>
                <w:bCs/>
                <w:color w:val="000000" w:themeColor="text1"/>
                <w:szCs w:val="22"/>
              </w:rPr>
              <w:t xml:space="preserve">R$  </w:t>
            </w:r>
            <w:r w:rsidRPr="005257A6">
              <w:rPr>
                <w:rFonts w:ascii="Times New Roman" w:hAnsi="Times New Roman"/>
                <w:b/>
                <w:color w:val="000000" w:themeColor="text1"/>
                <w:szCs w:val="22"/>
              </w:rPr>
              <w:t xml:space="preserve">       24.905.060,44</w:t>
            </w:r>
          </w:p>
        </w:tc>
        <w:tc>
          <w:tcPr>
            <w:tcW w:w="1101" w:type="dxa"/>
          </w:tcPr>
          <w:p w:rsidR="00DE6136" w:rsidRPr="005257A6" w:rsidRDefault="00DE6136" w:rsidP="001146BD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DE6136" w:rsidRPr="005257A6" w:rsidRDefault="00DE6136" w:rsidP="001146B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57A6">
              <w:rPr>
                <w:color w:val="000000" w:themeColor="text1"/>
                <w:sz w:val="22"/>
                <w:szCs w:val="22"/>
              </w:rPr>
              <w:t>% s/LRF</w:t>
            </w:r>
          </w:p>
        </w:tc>
      </w:tr>
      <w:tr w:rsidR="005257A6" w:rsidRPr="005257A6" w:rsidTr="001146BD">
        <w:tc>
          <w:tcPr>
            <w:tcW w:w="5991" w:type="dxa"/>
          </w:tcPr>
          <w:p w:rsidR="00DE6136" w:rsidRPr="005257A6" w:rsidRDefault="00DE6136" w:rsidP="001146BD">
            <w:pPr>
              <w:tabs>
                <w:tab w:val="left" w:pos="4253"/>
              </w:tabs>
              <w:spacing w:before="12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257A6">
              <w:rPr>
                <w:b/>
                <w:color w:val="000000" w:themeColor="text1"/>
                <w:sz w:val="22"/>
                <w:szCs w:val="22"/>
              </w:rPr>
              <w:t>Total</w:t>
            </w:r>
            <w:r w:rsidR="00E44BDC" w:rsidRPr="005257A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257A6">
              <w:rPr>
                <w:b/>
                <w:color w:val="000000" w:themeColor="text1"/>
                <w:sz w:val="22"/>
                <w:szCs w:val="22"/>
              </w:rPr>
              <w:t xml:space="preserve">da </w:t>
            </w:r>
            <w:r w:rsidRPr="005257A6">
              <w:rPr>
                <w:b/>
                <w:bCs/>
                <w:color w:val="000000" w:themeColor="text1"/>
                <w:sz w:val="22"/>
                <w:szCs w:val="22"/>
              </w:rPr>
              <w:t>Dívida Consolidada</w:t>
            </w:r>
          </w:p>
        </w:tc>
        <w:tc>
          <w:tcPr>
            <w:tcW w:w="2333" w:type="dxa"/>
          </w:tcPr>
          <w:p w:rsidR="00DE6136" w:rsidRPr="005257A6" w:rsidRDefault="00DE6136" w:rsidP="00D61DBC">
            <w:pPr>
              <w:pStyle w:val="Ttulo1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5257A6">
              <w:rPr>
                <w:b w:val="0"/>
                <w:color w:val="000000" w:themeColor="text1"/>
                <w:sz w:val="22"/>
                <w:szCs w:val="22"/>
              </w:rPr>
              <w:t>R$             1.</w:t>
            </w:r>
            <w:r w:rsidR="00D61DBC">
              <w:rPr>
                <w:b w:val="0"/>
                <w:color w:val="000000" w:themeColor="text1"/>
                <w:sz w:val="22"/>
                <w:szCs w:val="22"/>
              </w:rPr>
              <w:t>539.663,85</w:t>
            </w:r>
          </w:p>
        </w:tc>
        <w:tc>
          <w:tcPr>
            <w:tcW w:w="1101" w:type="dxa"/>
          </w:tcPr>
          <w:p w:rsidR="00DE6136" w:rsidRPr="005257A6" w:rsidRDefault="00DE6136" w:rsidP="001146BD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DE6136" w:rsidRPr="005257A6" w:rsidRDefault="00DE6136" w:rsidP="00D61DBC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257A6">
              <w:rPr>
                <w:color w:val="000000" w:themeColor="text1"/>
                <w:sz w:val="22"/>
                <w:szCs w:val="22"/>
              </w:rPr>
              <w:t>6,</w:t>
            </w:r>
            <w:r w:rsidR="00D61DBC">
              <w:rPr>
                <w:color w:val="000000" w:themeColor="text1"/>
                <w:sz w:val="22"/>
                <w:szCs w:val="22"/>
              </w:rPr>
              <w:t>18</w:t>
            </w:r>
            <w:r w:rsidRPr="005257A6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5257A6" w:rsidRPr="005257A6" w:rsidTr="001146BD">
        <w:tc>
          <w:tcPr>
            <w:tcW w:w="8324" w:type="dxa"/>
            <w:gridSpan w:val="2"/>
          </w:tcPr>
          <w:p w:rsidR="00DE6136" w:rsidRPr="005257A6" w:rsidRDefault="00DE6136" w:rsidP="001146BD">
            <w:pPr>
              <w:rPr>
                <w:color w:val="000000" w:themeColor="text1"/>
                <w:sz w:val="22"/>
                <w:szCs w:val="22"/>
              </w:rPr>
            </w:pPr>
            <w:r w:rsidRPr="005257A6">
              <w:rPr>
                <w:color w:val="000000" w:themeColor="text1"/>
                <w:sz w:val="22"/>
                <w:szCs w:val="22"/>
              </w:rPr>
              <w:t xml:space="preserve">Limite de emissão de alerta </w:t>
            </w:r>
            <w:r w:rsidR="00E44BDC" w:rsidRPr="005257A6">
              <w:rPr>
                <w:color w:val="000000" w:themeColor="text1"/>
                <w:sz w:val="22"/>
                <w:szCs w:val="22"/>
              </w:rPr>
              <w:t>cfe,</w:t>
            </w:r>
            <w:r w:rsidRPr="005257A6">
              <w:rPr>
                <w:color w:val="000000" w:themeColor="text1"/>
                <w:sz w:val="22"/>
                <w:szCs w:val="22"/>
              </w:rPr>
              <w:t xml:space="preserve"> </w:t>
            </w:r>
            <w:r w:rsidR="00E44BDC" w:rsidRPr="005257A6">
              <w:rPr>
                <w:color w:val="000000" w:themeColor="text1"/>
                <w:sz w:val="22"/>
                <w:szCs w:val="22"/>
              </w:rPr>
              <w:t>art.</w:t>
            </w:r>
            <w:r w:rsidRPr="005257A6">
              <w:rPr>
                <w:color w:val="000000" w:themeColor="text1"/>
                <w:sz w:val="22"/>
                <w:szCs w:val="22"/>
              </w:rPr>
              <w:t xml:space="preserve">, 59, § 1º, III da </w:t>
            </w:r>
            <w:r w:rsidR="00E44BDC" w:rsidRPr="005257A6">
              <w:rPr>
                <w:color w:val="000000" w:themeColor="text1"/>
                <w:sz w:val="22"/>
                <w:szCs w:val="22"/>
              </w:rPr>
              <w:t>LRF.</w:t>
            </w:r>
          </w:p>
        </w:tc>
        <w:tc>
          <w:tcPr>
            <w:tcW w:w="1101" w:type="dxa"/>
          </w:tcPr>
          <w:p w:rsidR="00DE6136" w:rsidRPr="005257A6" w:rsidRDefault="00DE6136" w:rsidP="001146BD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before="120"/>
              <w:jc w:val="right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5257A6">
              <w:rPr>
                <w:rFonts w:ascii="Times New Roman" w:hAnsi="Times New Roman"/>
                <w:color w:val="000000" w:themeColor="text1"/>
                <w:szCs w:val="22"/>
              </w:rPr>
              <w:t>108%</w:t>
            </w:r>
          </w:p>
        </w:tc>
      </w:tr>
      <w:tr w:rsidR="005257A6" w:rsidRPr="005257A6" w:rsidTr="001146BD">
        <w:tc>
          <w:tcPr>
            <w:tcW w:w="8324" w:type="dxa"/>
            <w:gridSpan w:val="2"/>
          </w:tcPr>
          <w:p w:rsidR="00DE6136" w:rsidRPr="005257A6" w:rsidRDefault="00DE6136" w:rsidP="001146BD">
            <w:pPr>
              <w:rPr>
                <w:color w:val="000000" w:themeColor="text1"/>
                <w:sz w:val="22"/>
                <w:szCs w:val="22"/>
              </w:rPr>
            </w:pPr>
            <w:r w:rsidRPr="005257A6">
              <w:rPr>
                <w:color w:val="000000" w:themeColor="text1"/>
                <w:sz w:val="22"/>
                <w:szCs w:val="22"/>
              </w:rPr>
              <w:t xml:space="preserve">Limite legal </w:t>
            </w:r>
            <w:r w:rsidR="00E44BDC" w:rsidRPr="005257A6">
              <w:rPr>
                <w:color w:val="000000" w:themeColor="text1"/>
                <w:sz w:val="22"/>
                <w:szCs w:val="22"/>
              </w:rPr>
              <w:t>cfe.</w:t>
            </w:r>
            <w:r w:rsidRPr="005257A6">
              <w:rPr>
                <w:color w:val="000000" w:themeColor="text1"/>
                <w:sz w:val="22"/>
                <w:szCs w:val="22"/>
              </w:rPr>
              <w:t xml:space="preserve"> art.3º, II da Resolução 40/2001.</w:t>
            </w:r>
          </w:p>
        </w:tc>
        <w:tc>
          <w:tcPr>
            <w:tcW w:w="1101" w:type="dxa"/>
          </w:tcPr>
          <w:p w:rsidR="00DE6136" w:rsidRPr="005257A6" w:rsidRDefault="00DE6136" w:rsidP="001146BD">
            <w:pPr>
              <w:tabs>
                <w:tab w:val="left" w:pos="4253"/>
              </w:tabs>
              <w:spacing w:before="120"/>
              <w:jc w:val="right"/>
              <w:rPr>
                <w:color w:val="000000" w:themeColor="text1"/>
                <w:sz w:val="22"/>
                <w:szCs w:val="22"/>
              </w:rPr>
            </w:pPr>
            <w:r w:rsidRPr="005257A6">
              <w:rPr>
                <w:color w:val="000000" w:themeColor="text1"/>
                <w:sz w:val="22"/>
                <w:szCs w:val="22"/>
              </w:rPr>
              <w:t>120%</w:t>
            </w:r>
          </w:p>
        </w:tc>
      </w:tr>
    </w:tbl>
    <w:p w:rsidR="00DE6136" w:rsidRPr="005257A6" w:rsidRDefault="00DE6136" w:rsidP="00DE6136">
      <w:pPr>
        <w:rPr>
          <w:color w:val="000000" w:themeColor="text1"/>
          <w:sz w:val="22"/>
          <w:szCs w:val="22"/>
        </w:rPr>
      </w:pPr>
    </w:p>
    <w:p w:rsidR="00DE6136" w:rsidRPr="005257A6" w:rsidRDefault="00DE6136" w:rsidP="00DE6136">
      <w:pPr>
        <w:tabs>
          <w:tab w:val="left" w:pos="3402"/>
        </w:tabs>
        <w:spacing w:before="120" w:line="360" w:lineRule="auto"/>
        <w:ind w:firstLine="1134"/>
        <w:jc w:val="both"/>
        <w:rPr>
          <w:color w:val="000000" w:themeColor="text1"/>
          <w:sz w:val="22"/>
          <w:szCs w:val="19"/>
        </w:rPr>
      </w:pPr>
      <w:r w:rsidRPr="005257A6">
        <w:rPr>
          <w:b/>
          <w:color w:val="000000" w:themeColor="text1"/>
          <w:sz w:val="22"/>
          <w:szCs w:val="19"/>
        </w:rPr>
        <w:t xml:space="preserve"> </w:t>
      </w:r>
      <w:r w:rsidRPr="005257A6">
        <w:rPr>
          <w:color w:val="000000" w:themeColor="text1"/>
          <w:sz w:val="22"/>
          <w:szCs w:val="19"/>
        </w:rPr>
        <w:t>No exercício de 2016, não houve a alienação de bens integrantes do ativo</w:t>
      </w:r>
      <w:r w:rsidR="00E44BDC" w:rsidRPr="005257A6">
        <w:rPr>
          <w:color w:val="000000" w:themeColor="text1"/>
          <w:sz w:val="22"/>
          <w:szCs w:val="19"/>
        </w:rPr>
        <w:t xml:space="preserve"> </w:t>
      </w:r>
      <w:r w:rsidRPr="005257A6">
        <w:rPr>
          <w:color w:val="000000" w:themeColor="text1"/>
          <w:sz w:val="22"/>
          <w:szCs w:val="19"/>
        </w:rPr>
        <w:t>tendo sido os mesmos aplicados na forma prescrita no art. 44 da Lei Complementar nº 101/2000.</w:t>
      </w:r>
    </w:p>
    <w:p w:rsidR="00DE6136" w:rsidRPr="009E33DA" w:rsidRDefault="00DE6136" w:rsidP="00DE6136">
      <w:pPr>
        <w:pStyle w:val="Recuodecorpodetexto21"/>
        <w:tabs>
          <w:tab w:val="left" w:pos="1134"/>
        </w:tabs>
        <w:spacing w:before="119" w:after="0" w:line="360" w:lineRule="auto"/>
        <w:ind w:left="0"/>
        <w:rPr>
          <w:rFonts w:ascii="Times New Roman" w:hAnsi="Times New Roman"/>
          <w:b/>
          <w:color w:val="000000"/>
          <w:szCs w:val="22"/>
        </w:rPr>
      </w:pPr>
      <w:r w:rsidRPr="00B30677">
        <w:rPr>
          <w:b/>
          <w:bCs/>
          <w:color w:val="000000"/>
          <w:sz w:val="24"/>
          <w:szCs w:val="24"/>
        </w:rPr>
        <w:tab/>
      </w:r>
      <w:r w:rsidR="002904D5">
        <w:rPr>
          <w:b/>
          <w:bCs/>
          <w:color w:val="000000"/>
          <w:sz w:val="24"/>
          <w:szCs w:val="24"/>
        </w:rPr>
        <w:t>1</w:t>
      </w:r>
      <w:r w:rsidR="00F4094C">
        <w:rPr>
          <w:b/>
          <w:bCs/>
          <w:color w:val="000000"/>
          <w:sz w:val="24"/>
          <w:szCs w:val="24"/>
        </w:rPr>
        <w:t>0</w:t>
      </w:r>
      <w:r w:rsidRPr="005257A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9E33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E33DA">
        <w:rPr>
          <w:rFonts w:ascii="Times New Roman" w:hAnsi="Times New Roman"/>
          <w:b/>
          <w:color w:val="000000"/>
          <w:szCs w:val="22"/>
        </w:rPr>
        <w:t>Exame da execução da folha de pagamento: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b/>
          <w:color w:val="000000"/>
          <w:sz w:val="24"/>
          <w:szCs w:val="24"/>
        </w:rPr>
        <w:t xml:space="preserve">                    </w:t>
      </w:r>
      <w:r w:rsidRPr="00B30677">
        <w:rPr>
          <w:color w:val="000000"/>
          <w:sz w:val="24"/>
          <w:szCs w:val="24"/>
        </w:rPr>
        <w:t>Visando verificar a execução da folha de pagamento, a Unidade Central de Controle Interno auditou os procedimentos respectivos, por amostragem, de onde se extrai que: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F476DD">
        <w:rPr>
          <w:b/>
          <w:color w:val="000000"/>
          <w:sz w:val="24"/>
          <w:szCs w:val="24"/>
        </w:rPr>
        <w:t>a)</w:t>
      </w:r>
      <w:r w:rsidRPr="00B30677">
        <w:rPr>
          <w:color w:val="000000"/>
          <w:sz w:val="24"/>
          <w:szCs w:val="24"/>
        </w:rPr>
        <w:t xml:space="preserve"> A folha de pagamento é organizada e executada por centros de custo;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F476DD">
        <w:rPr>
          <w:b/>
          <w:color w:val="000000"/>
          <w:sz w:val="24"/>
          <w:szCs w:val="24"/>
        </w:rPr>
        <w:t>b)</w:t>
      </w:r>
      <w:r w:rsidRPr="00B30677">
        <w:rPr>
          <w:color w:val="000000"/>
          <w:sz w:val="24"/>
          <w:szCs w:val="24"/>
        </w:rPr>
        <w:t xml:space="preserve"> Os servidores alocados em cada centro de custo estão devidamente lotados nas respectivas unidades administrativas, mas nem todos desenvolvem suas atribuições onde estão lotados.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F476DD">
        <w:rPr>
          <w:b/>
          <w:color w:val="000000"/>
          <w:sz w:val="24"/>
          <w:szCs w:val="24"/>
        </w:rPr>
        <w:t>c)</w:t>
      </w:r>
      <w:r w:rsidRPr="00B30677">
        <w:rPr>
          <w:color w:val="000000"/>
          <w:sz w:val="24"/>
          <w:szCs w:val="24"/>
        </w:rPr>
        <w:t xml:space="preserve"> Não há vantagens, cujo direito foi implementado por servidores, pendentes de concessão, como adicionais por tempo de serviço, promoções e progressões, adicionais de insalubridade e periculosidade etc.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F476DD">
        <w:rPr>
          <w:b/>
          <w:color w:val="000000"/>
          <w:sz w:val="24"/>
          <w:szCs w:val="24"/>
        </w:rPr>
        <w:t>d)</w:t>
      </w:r>
      <w:r w:rsidRPr="00B30677">
        <w:rPr>
          <w:color w:val="000000"/>
          <w:sz w:val="24"/>
          <w:szCs w:val="24"/>
        </w:rPr>
        <w:t xml:space="preserve"> As vantagens funcionais concedidas aos servidores, como adicionais por tempo de serviço, promoções e progressões, adicionais de insalubridade e periculosidade, gozo de férias e de licença prêmio etc., ocorreram regularmente e contaram com a emissão e publicação do ato respectivo, bem como com a devida anotação nos registros funcionais;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140D1">
        <w:rPr>
          <w:b/>
          <w:color w:val="000000"/>
          <w:sz w:val="24"/>
          <w:szCs w:val="24"/>
        </w:rPr>
        <w:t>e)</w:t>
      </w:r>
      <w:r w:rsidRPr="00B30677">
        <w:rPr>
          <w:color w:val="000000"/>
          <w:sz w:val="24"/>
          <w:szCs w:val="24"/>
        </w:rPr>
        <w:t xml:space="preserve"> Os documentos essenciais para comprovar o direito às vantagens concedidas aos servidores estão devidamente arquivados;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140D1">
        <w:rPr>
          <w:b/>
          <w:color w:val="000000"/>
          <w:sz w:val="24"/>
          <w:szCs w:val="24"/>
        </w:rPr>
        <w:t>f)</w:t>
      </w:r>
      <w:r w:rsidRPr="00B30677">
        <w:rPr>
          <w:color w:val="000000"/>
          <w:sz w:val="24"/>
          <w:szCs w:val="24"/>
        </w:rPr>
        <w:t xml:space="preserve"> Foram devidamente formalizados atos de aplicação de penalidades (decorrentes de procedimento administrativo regular, como advertências, suspensões e determinações de ressarcimento ao erário, sendo que tais circunstâncias foram devidamente anotadas nos registros funcionais;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lastRenderedPageBreak/>
        <w:tab/>
      </w:r>
      <w:r w:rsidRPr="003140D1">
        <w:rPr>
          <w:b/>
          <w:color w:val="000000"/>
          <w:sz w:val="24"/>
          <w:szCs w:val="24"/>
        </w:rPr>
        <w:t>g)</w:t>
      </w:r>
      <w:r w:rsidRPr="00B30677">
        <w:rPr>
          <w:color w:val="000000"/>
          <w:sz w:val="24"/>
          <w:szCs w:val="24"/>
        </w:rPr>
        <w:t xml:space="preserve"> Foram devidamente instruídos todos os processos de prestação de contas relativos às diárias concedidas, tanto para servidores como para agentes políticos;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140D1">
        <w:rPr>
          <w:b/>
          <w:color w:val="000000"/>
          <w:sz w:val="24"/>
          <w:szCs w:val="24"/>
        </w:rPr>
        <w:t>h)</w:t>
      </w:r>
      <w:r w:rsidRPr="00B30677">
        <w:rPr>
          <w:color w:val="000000"/>
          <w:sz w:val="24"/>
          <w:szCs w:val="24"/>
        </w:rPr>
        <w:t xml:space="preserve"> Foram emitidas e estão arquivadas nas pastas funcionais, devidamente assinadas pelos responsáveis, as efetividades dos servidores, fundamentando inclusive as horas extras pagas ou registradas em banco de horas;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  <w:t>i) Foram assinados pelos servidores e estão devidamente arquivados nas pastas funcionais, os termos de acordo, nos casos em que houve a compensação de horas extras trabalhadas (inclusive nos casos de sujeição dos servidores a regimes de plantão);</w:t>
      </w:r>
    </w:p>
    <w:p w:rsidR="00DE6136" w:rsidRPr="00B30677" w:rsidRDefault="00DE6136" w:rsidP="00DE6136">
      <w:pPr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140D1">
        <w:rPr>
          <w:b/>
          <w:color w:val="000000"/>
          <w:sz w:val="24"/>
          <w:szCs w:val="24"/>
        </w:rPr>
        <w:t xml:space="preserve">      j)</w:t>
      </w:r>
      <w:r w:rsidRPr="00B30677">
        <w:rPr>
          <w:color w:val="000000"/>
          <w:sz w:val="24"/>
          <w:szCs w:val="24"/>
        </w:rPr>
        <w:t xml:space="preserve"> Houve a entrega anual, e o respectivo arquivamento nas pastas funcionais, da Declaração de Bens e Rendas por todos os servidores (efetivos, em comissão e contratados por tempo determinado para atender necessidade temporária de excepcional interesse público), bem como pelos</w:t>
      </w:r>
      <w:r w:rsidR="00E44BDC" w:rsidRPr="00B306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que exerceram cargos</w:t>
      </w:r>
      <w:r w:rsidR="00E44BDC">
        <w:rPr>
          <w:color w:val="000000"/>
          <w:sz w:val="24"/>
          <w:szCs w:val="24"/>
        </w:rPr>
        <w:t xml:space="preserve"> </w:t>
      </w:r>
      <w:r w:rsidRPr="00B30677">
        <w:rPr>
          <w:color w:val="000000"/>
          <w:sz w:val="24"/>
          <w:szCs w:val="24"/>
        </w:rPr>
        <w:t>de mandato eletivo (Prefeito, Vice-Prefeito</w:t>
      </w:r>
      <w:r w:rsidR="00E44BDC" w:rsidRPr="00B30677">
        <w:rPr>
          <w:color w:val="000000"/>
          <w:sz w:val="24"/>
          <w:szCs w:val="24"/>
        </w:rPr>
        <w:t>)</w:t>
      </w:r>
      <w:r w:rsidRPr="00B30677">
        <w:rPr>
          <w:color w:val="000000"/>
          <w:sz w:val="24"/>
          <w:szCs w:val="24"/>
        </w:rPr>
        <w:t>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l</w:t>
      </w:r>
      <w:r w:rsidRPr="00B30677">
        <w:rPr>
          <w:color w:val="000000"/>
          <w:sz w:val="24"/>
          <w:szCs w:val="24"/>
        </w:rPr>
        <w:t>) Está em dia e de acordo a legislação local a avaliação do estágio probatório dos servidores, bem como foram emitidas as portarias de declaração de estabilidade, quando for o caso (art. 41 da CR);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140D1">
        <w:rPr>
          <w:b/>
          <w:color w:val="000000"/>
          <w:sz w:val="24"/>
          <w:szCs w:val="24"/>
        </w:rPr>
        <w:t>m)</w:t>
      </w:r>
      <w:r w:rsidRPr="00B30677">
        <w:rPr>
          <w:color w:val="000000"/>
          <w:sz w:val="24"/>
          <w:szCs w:val="24"/>
        </w:rPr>
        <w:t xml:space="preserve"> Há servidores percebendo remuneração superior ao subsídio do Prefeito (art. 37, XI, da CR); m</w:t>
      </w:r>
      <w:r>
        <w:rPr>
          <w:color w:val="000000"/>
          <w:sz w:val="24"/>
          <w:szCs w:val="24"/>
        </w:rPr>
        <w:t>é</w:t>
      </w:r>
      <w:r w:rsidRPr="00B30677">
        <w:rPr>
          <w:color w:val="000000"/>
          <w:sz w:val="24"/>
          <w:szCs w:val="24"/>
        </w:rPr>
        <w:t>dicos.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140D1">
        <w:rPr>
          <w:b/>
          <w:color w:val="000000"/>
          <w:sz w:val="24"/>
          <w:szCs w:val="24"/>
        </w:rPr>
        <w:t>n)</w:t>
      </w:r>
      <w:r w:rsidRPr="00B30677">
        <w:rPr>
          <w:color w:val="000000"/>
          <w:sz w:val="24"/>
          <w:szCs w:val="24"/>
        </w:rPr>
        <w:t xml:space="preserve"> Está sendo publicada, anualmente, a relação dos subsídios e das remunerações dos cargos e empregos públicos (art. 39, § 6° da CR);</w:t>
      </w:r>
    </w:p>
    <w:p w:rsidR="00DE6136" w:rsidRPr="00B30677" w:rsidRDefault="00DE6136" w:rsidP="00DE6136">
      <w:pPr>
        <w:tabs>
          <w:tab w:val="left" w:pos="1134"/>
        </w:tabs>
        <w:spacing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140D1">
        <w:rPr>
          <w:b/>
          <w:color w:val="000000"/>
          <w:sz w:val="24"/>
          <w:szCs w:val="24"/>
        </w:rPr>
        <w:t>o)</w:t>
      </w:r>
      <w:r w:rsidRPr="00B30677">
        <w:rPr>
          <w:color w:val="000000"/>
          <w:sz w:val="24"/>
          <w:szCs w:val="24"/>
        </w:rPr>
        <w:t xml:space="preserve"> Foram corretamente aplicadas as leis de reajuste e de revisão geral dos servidores;</w:t>
      </w:r>
    </w:p>
    <w:p w:rsidR="00DE6136" w:rsidRPr="00B30677" w:rsidRDefault="00DE6136" w:rsidP="00DE6136">
      <w:pPr>
        <w:tabs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 xml:space="preserve">                   </w:t>
      </w:r>
      <w:r w:rsidRPr="003140D1">
        <w:rPr>
          <w:b/>
          <w:color w:val="000000"/>
          <w:sz w:val="24"/>
          <w:szCs w:val="24"/>
        </w:rPr>
        <w:t>p)</w:t>
      </w:r>
      <w:r w:rsidRPr="00B30677">
        <w:rPr>
          <w:color w:val="000000"/>
          <w:sz w:val="24"/>
          <w:szCs w:val="24"/>
        </w:rPr>
        <w:t xml:space="preserve"> Não esta sendo feito escala de gozo de férias dos servidores; </w:t>
      </w:r>
    </w:p>
    <w:p w:rsidR="00DE6136" w:rsidRPr="00B30677" w:rsidRDefault="00DE6136" w:rsidP="00DE6136">
      <w:pPr>
        <w:tabs>
          <w:tab w:val="left" w:pos="1134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140D1">
        <w:rPr>
          <w:b/>
          <w:color w:val="000000"/>
          <w:sz w:val="24"/>
          <w:szCs w:val="24"/>
        </w:rPr>
        <w:t>q)</w:t>
      </w:r>
      <w:r w:rsidRPr="00B30677">
        <w:rPr>
          <w:color w:val="000000"/>
          <w:sz w:val="24"/>
          <w:szCs w:val="24"/>
        </w:rPr>
        <w:t xml:space="preserve"> As cedências de servidores contam com autorização legal e com convênio firmado entre cedente e cessionário, estando à contribuição previdenciária sendo mantida para o regime da origem (art. 1°-A da Lei 9.717/1998);</w:t>
      </w:r>
    </w:p>
    <w:p w:rsidR="00DE6136" w:rsidRPr="00B30677" w:rsidRDefault="00DE6136" w:rsidP="00DE6136">
      <w:pPr>
        <w:tabs>
          <w:tab w:val="left" w:pos="2268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321666">
        <w:rPr>
          <w:b/>
          <w:color w:val="000000"/>
          <w:sz w:val="24"/>
          <w:szCs w:val="24"/>
        </w:rPr>
        <w:t xml:space="preserve">                   </w:t>
      </w:r>
      <w:r w:rsidRPr="00321666">
        <w:rPr>
          <w:b/>
          <w:color w:val="000000"/>
          <w:sz w:val="28"/>
          <w:szCs w:val="28"/>
        </w:rPr>
        <w:t>r)</w:t>
      </w:r>
      <w:r w:rsidRPr="00B30677">
        <w:rPr>
          <w:color w:val="000000"/>
          <w:sz w:val="24"/>
          <w:szCs w:val="24"/>
        </w:rPr>
        <w:t xml:space="preserve"> Estão regulares as contribuições previdenciárias ao Regime Geral de Previdência Social – RGPS e ao Regime Próprio de Previdência dos Servidores – RPPS;</w:t>
      </w:r>
    </w:p>
    <w:p w:rsidR="00DE6136" w:rsidRPr="00B30677" w:rsidRDefault="00DE6136" w:rsidP="00DE6136">
      <w:pPr>
        <w:tabs>
          <w:tab w:val="left" w:pos="1134"/>
        </w:tabs>
        <w:spacing w:before="119" w:line="360" w:lineRule="auto"/>
        <w:jc w:val="both"/>
        <w:rPr>
          <w:color w:val="000000"/>
          <w:sz w:val="24"/>
          <w:szCs w:val="24"/>
        </w:rPr>
      </w:pPr>
      <w:r w:rsidRPr="00B30677">
        <w:rPr>
          <w:color w:val="000000"/>
          <w:sz w:val="24"/>
          <w:szCs w:val="24"/>
        </w:rPr>
        <w:tab/>
      </w:r>
      <w:r w:rsidRPr="00321666">
        <w:rPr>
          <w:b/>
          <w:color w:val="000000"/>
          <w:sz w:val="28"/>
          <w:szCs w:val="28"/>
        </w:rPr>
        <w:t>s</w:t>
      </w:r>
      <w:r w:rsidRPr="00321666">
        <w:rPr>
          <w:color w:val="000000"/>
          <w:sz w:val="28"/>
          <w:szCs w:val="28"/>
        </w:rPr>
        <w:t>)</w:t>
      </w:r>
      <w:r w:rsidRPr="00B30677">
        <w:rPr>
          <w:color w:val="000000"/>
          <w:sz w:val="24"/>
          <w:szCs w:val="24"/>
        </w:rPr>
        <w:t xml:space="preserve"> Estão regulares os descontos do imposto de renda na fonte (Decreto Federal nº 3.000/1999).</w:t>
      </w:r>
    </w:p>
    <w:p w:rsidR="00DE6136" w:rsidRDefault="002904D5" w:rsidP="00DE6136">
      <w:pPr>
        <w:tabs>
          <w:tab w:val="left" w:pos="3402"/>
        </w:tabs>
        <w:spacing w:before="120" w:line="360" w:lineRule="auto"/>
        <w:ind w:firstLine="1134"/>
        <w:jc w:val="both"/>
        <w:rPr>
          <w:color w:val="000000"/>
          <w:sz w:val="24"/>
          <w:szCs w:val="24"/>
        </w:rPr>
      </w:pPr>
      <w:r w:rsidRPr="002904D5">
        <w:rPr>
          <w:b/>
          <w:color w:val="000000"/>
          <w:sz w:val="24"/>
          <w:szCs w:val="24"/>
        </w:rPr>
        <w:t>1</w:t>
      </w:r>
      <w:r w:rsidR="00F4094C">
        <w:rPr>
          <w:b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-</w:t>
      </w:r>
      <w:r w:rsidR="00DE6136" w:rsidRPr="00B30677">
        <w:rPr>
          <w:color w:val="000000"/>
          <w:sz w:val="24"/>
          <w:szCs w:val="24"/>
        </w:rPr>
        <w:t xml:space="preserve">No tocante à despesa total com pessoal, de que tratam os </w:t>
      </w:r>
      <w:r w:rsidR="00E44BDC" w:rsidRPr="00B30677">
        <w:rPr>
          <w:color w:val="000000"/>
          <w:sz w:val="24"/>
          <w:szCs w:val="24"/>
        </w:rPr>
        <w:t>art.</w:t>
      </w:r>
      <w:r w:rsidR="00DE6136" w:rsidRPr="00B30677">
        <w:rPr>
          <w:color w:val="000000"/>
          <w:sz w:val="24"/>
          <w:szCs w:val="24"/>
        </w:rPr>
        <w:t xml:space="preserve"> 18 a 23 da Lei Complementar nº 101/2000 cabem as seguintes considerações:</w:t>
      </w:r>
    </w:p>
    <w:p w:rsidR="001003F9" w:rsidRDefault="001003F9" w:rsidP="00DE6136">
      <w:pPr>
        <w:tabs>
          <w:tab w:val="left" w:pos="3402"/>
        </w:tabs>
        <w:spacing w:before="120" w:line="360" w:lineRule="auto"/>
        <w:ind w:firstLine="1134"/>
        <w:jc w:val="both"/>
        <w:rPr>
          <w:color w:val="000000"/>
          <w:sz w:val="24"/>
          <w:szCs w:val="24"/>
        </w:rPr>
      </w:pPr>
    </w:p>
    <w:p w:rsidR="00DE6136" w:rsidRPr="00B30677" w:rsidRDefault="00DE6136" w:rsidP="001003F9">
      <w:pPr>
        <w:pStyle w:val="Ttulo2"/>
        <w:rPr>
          <w:color w:val="000000"/>
        </w:rPr>
      </w:pPr>
      <w:r w:rsidRPr="00B30677">
        <w:rPr>
          <w:color w:val="000000"/>
          <w:sz w:val="24"/>
          <w:szCs w:val="24"/>
        </w:rPr>
        <w:lastRenderedPageBreak/>
        <w:t>DESPESAS COM PESSOAL DO PODER EXECUTIVO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410"/>
        <w:gridCol w:w="1559"/>
      </w:tblGrid>
      <w:tr w:rsidR="00DE6136" w:rsidRPr="00B30677" w:rsidTr="001146BD">
        <w:tc>
          <w:tcPr>
            <w:tcW w:w="5387" w:type="dxa"/>
          </w:tcPr>
          <w:p w:rsidR="00DE6136" w:rsidRPr="00B30677" w:rsidRDefault="00DE6136" w:rsidP="001146BD">
            <w:pPr>
              <w:tabs>
                <w:tab w:val="left" w:pos="4253"/>
              </w:tabs>
              <w:spacing w:before="120"/>
              <w:jc w:val="both"/>
              <w:rPr>
                <w:color w:val="000000"/>
                <w:sz w:val="22"/>
                <w:szCs w:val="19"/>
              </w:rPr>
            </w:pPr>
            <w:r w:rsidRPr="00B30677">
              <w:rPr>
                <w:color w:val="000000"/>
                <w:sz w:val="22"/>
                <w:szCs w:val="19"/>
              </w:rPr>
              <w:t>Receita Corrente Líquida (R C L)</w:t>
            </w:r>
          </w:p>
        </w:tc>
        <w:tc>
          <w:tcPr>
            <w:tcW w:w="2410" w:type="dxa"/>
          </w:tcPr>
          <w:p w:rsidR="00DE6136" w:rsidRPr="009E33DA" w:rsidRDefault="00DE6136" w:rsidP="001146BD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before="120"/>
              <w:rPr>
                <w:rFonts w:ascii="Times New Roman" w:hAnsi="Times New Roman"/>
                <w:szCs w:val="19"/>
              </w:rPr>
            </w:pPr>
            <w:r w:rsidRPr="009E33DA">
              <w:rPr>
                <w:rFonts w:ascii="Times New Roman" w:hAnsi="Times New Roman"/>
                <w:szCs w:val="19"/>
              </w:rPr>
              <w:t>R</w:t>
            </w:r>
            <w:r w:rsidRPr="009E33DA">
              <w:rPr>
                <w:rFonts w:ascii="Times New Roman" w:hAnsi="Times New Roman"/>
                <w:b/>
                <w:szCs w:val="19"/>
              </w:rPr>
              <w:t xml:space="preserve">$            </w:t>
            </w:r>
            <w:r>
              <w:rPr>
                <w:rFonts w:ascii="Times New Roman" w:hAnsi="Times New Roman"/>
                <w:b/>
                <w:szCs w:val="19"/>
              </w:rPr>
              <w:t>24.905.060,44</w:t>
            </w:r>
          </w:p>
        </w:tc>
        <w:tc>
          <w:tcPr>
            <w:tcW w:w="1559" w:type="dxa"/>
          </w:tcPr>
          <w:p w:rsidR="00DE6136" w:rsidRPr="009E33DA" w:rsidRDefault="00DE6136" w:rsidP="001146BD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before="120" w:line="360" w:lineRule="auto"/>
              <w:jc w:val="center"/>
              <w:rPr>
                <w:rFonts w:ascii="Times New Roman" w:hAnsi="Times New Roman"/>
                <w:szCs w:val="19"/>
              </w:rPr>
            </w:pPr>
            <w:r w:rsidRPr="009E33DA">
              <w:rPr>
                <w:rFonts w:ascii="Times New Roman" w:hAnsi="Times New Roman"/>
                <w:szCs w:val="19"/>
              </w:rPr>
              <w:t>%</w:t>
            </w:r>
          </w:p>
        </w:tc>
      </w:tr>
      <w:tr w:rsidR="00DE6136" w:rsidRPr="00B30677" w:rsidTr="001146BD">
        <w:tc>
          <w:tcPr>
            <w:tcW w:w="5387" w:type="dxa"/>
          </w:tcPr>
          <w:p w:rsidR="00DE6136" w:rsidRPr="00B30677" w:rsidRDefault="00DE6136" w:rsidP="001146BD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before="120"/>
              <w:rPr>
                <w:rFonts w:ascii="Times New Roman" w:hAnsi="Times New Roman"/>
                <w:color w:val="000000"/>
                <w:szCs w:val="19"/>
              </w:rPr>
            </w:pPr>
            <w:r w:rsidRPr="00B30677">
              <w:rPr>
                <w:rFonts w:ascii="Times New Roman" w:hAnsi="Times New Roman"/>
                <w:color w:val="000000"/>
                <w:szCs w:val="19"/>
              </w:rPr>
              <w:t>Despesas com Pessoal Computáveis nos últimos 12 meses</w:t>
            </w:r>
          </w:p>
        </w:tc>
        <w:tc>
          <w:tcPr>
            <w:tcW w:w="2410" w:type="dxa"/>
          </w:tcPr>
          <w:p w:rsidR="00DE6136" w:rsidRPr="009E33DA" w:rsidRDefault="00DE6136" w:rsidP="00D61DBC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before="120"/>
              <w:rPr>
                <w:b/>
                <w:bCs/>
                <w:szCs w:val="19"/>
              </w:rPr>
            </w:pPr>
            <w:r w:rsidRPr="009E33DA">
              <w:rPr>
                <w:rFonts w:ascii="Times New Roman" w:hAnsi="Times New Roman"/>
                <w:szCs w:val="19"/>
              </w:rPr>
              <w:t>R</w:t>
            </w:r>
            <w:r w:rsidRPr="009E33DA">
              <w:rPr>
                <w:rFonts w:ascii="Times New Roman" w:hAnsi="Times New Roman"/>
                <w:b/>
                <w:szCs w:val="19"/>
              </w:rPr>
              <w:t xml:space="preserve">$            </w:t>
            </w:r>
            <w:r>
              <w:rPr>
                <w:rFonts w:ascii="Times New Roman" w:hAnsi="Times New Roman"/>
                <w:b/>
                <w:szCs w:val="19"/>
              </w:rPr>
              <w:t>11.98</w:t>
            </w:r>
            <w:r w:rsidR="00D61DBC">
              <w:rPr>
                <w:rFonts w:ascii="Times New Roman" w:hAnsi="Times New Roman"/>
                <w:b/>
                <w:szCs w:val="19"/>
              </w:rPr>
              <w:t>4.765,49</w:t>
            </w:r>
            <w:r w:rsidRPr="009E33DA">
              <w:rPr>
                <w:rFonts w:ascii="Times New Roman" w:hAnsi="Times New Roman"/>
                <w:b/>
                <w:szCs w:val="19"/>
              </w:rPr>
              <w:t xml:space="preserve">         </w:t>
            </w:r>
          </w:p>
        </w:tc>
        <w:tc>
          <w:tcPr>
            <w:tcW w:w="1559" w:type="dxa"/>
          </w:tcPr>
          <w:p w:rsidR="00DE6136" w:rsidRPr="009E33DA" w:rsidRDefault="00DE6136" w:rsidP="00D61DBC">
            <w:pPr>
              <w:pStyle w:val="Rodap"/>
              <w:tabs>
                <w:tab w:val="left" w:pos="4253"/>
              </w:tabs>
              <w:spacing w:before="120"/>
              <w:ind w:left="71" w:hanging="71"/>
              <w:jc w:val="center"/>
              <w:rPr>
                <w:rFonts w:ascii="Times New Roman" w:hAnsi="Times New Roman"/>
                <w:b/>
                <w:bCs/>
                <w:szCs w:val="19"/>
              </w:rPr>
            </w:pPr>
            <w:r>
              <w:rPr>
                <w:rFonts w:ascii="Times New Roman" w:hAnsi="Times New Roman"/>
                <w:b/>
                <w:bCs/>
                <w:szCs w:val="19"/>
              </w:rPr>
              <w:t>48,1</w:t>
            </w:r>
            <w:r w:rsidR="00D61DBC">
              <w:rPr>
                <w:rFonts w:ascii="Times New Roman" w:hAnsi="Times New Roman"/>
                <w:b/>
                <w:bCs/>
                <w:szCs w:val="19"/>
              </w:rPr>
              <w:t>2</w:t>
            </w:r>
            <w:r w:rsidRPr="009E33DA">
              <w:rPr>
                <w:rFonts w:ascii="Times New Roman" w:hAnsi="Times New Roman"/>
                <w:b/>
                <w:bCs/>
                <w:szCs w:val="19"/>
              </w:rPr>
              <w:t>%</w:t>
            </w:r>
          </w:p>
        </w:tc>
      </w:tr>
      <w:tr w:rsidR="00DE6136" w:rsidRPr="00B30677" w:rsidTr="001146BD">
        <w:trPr>
          <w:trHeight w:val="455"/>
        </w:trPr>
        <w:tc>
          <w:tcPr>
            <w:tcW w:w="5387" w:type="dxa"/>
          </w:tcPr>
          <w:p w:rsidR="00DE6136" w:rsidRPr="00B30677" w:rsidRDefault="00DE6136" w:rsidP="001146BD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spacing w:before="120"/>
              <w:rPr>
                <w:rFonts w:ascii="Times New Roman" w:hAnsi="Times New Roman"/>
                <w:color w:val="000000"/>
                <w:szCs w:val="19"/>
              </w:rPr>
            </w:pPr>
            <w:r w:rsidRPr="00B30677">
              <w:rPr>
                <w:rFonts w:ascii="Times New Roman" w:hAnsi="Times New Roman"/>
                <w:color w:val="000000"/>
                <w:szCs w:val="19"/>
              </w:rPr>
              <w:t xml:space="preserve">Limite de alerta </w:t>
            </w:r>
            <w:r w:rsidR="00E44BDC" w:rsidRPr="00B30677">
              <w:rPr>
                <w:rFonts w:ascii="Times New Roman" w:hAnsi="Times New Roman"/>
                <w:color w:val="000000"/>
                <w:szCs w:val="19"/>
              </w:rPr>
              <w:t>cfe.</w:t>
            </w:r>
            <w:r w:rsidRPr="00B30677">
              <w:rPr>
                <w:rFonts w:ascii="Times New Roman" w:hAnsi="Times New Roman"/>
                <w:color w:val="000000"/>
                <w:szCs w:val="19"/>
              </w:rPr>
              <w:t xml:space="preserve"> art. 59, § 1º, II da LRF.</w:t>
            </w:r>
          </w:p>
        </w:tc>
        <w:tc>
          <w:tcPr>
            <w:tcW w:w="2410" w:type="dxa"/>
            <w:vAlign w:val="bottom"/>
          </w:tcPr>
          <w:p w:rsidR="00DE6136" w:rsidRDefault="00DE6136" w:rsidP="00114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R$             12.103.859,37 </w:t>
            </w:r>
          </w:p>
        </w:tc>
        <w:tc>
          <w:tcPr>
            <w:tcW w:w="1559" w:type="dxa"/>
          </w:tcPr>
          <w:p w:rsidR="00DE6136" w:rsidRPr="009E33DA" w:rsidRDefault="00DE6136" w:rsidP="001146BD">
            <w:pPr>
              <w:pStyle w:val="Rodap"/>
              <w:tabs>
                <w:tab w:val="left" w:pos="4253"/>
              </w:tabs>
              <w:spacing w:before="120"/>
              <w:ind w:hanging="70"/>
              <w:jc w:val="center"/>
              <w:rPr>
                <w:rFonts w:ascii="Times New Roman" w:hAnsi="Times New Roman"/>
                <w:b/>
                <w:bCs/>
                <w:szCs w:val="19"/>
              </w:rPr>
            </w:pPr>
            <w:r w:rsidRPr="009E33DA">
              <w:rPr>
                <w:rFonts w:ascii="Times New Roman" w:hAnsi="Times New Roman"/>
                <w:szCs w:val="19"/>
              </w:rPr>
              <w:t>48,60 s RCL</w:t>
            </w:r>
          </w:p>
        </w:tc>
      </w:tr>
      <w:tr w:rsidR="00DE6136" w:rsidRPr="00B30677" w:rsidTr="001146BD">
        <w:tc>
          <w:tcPr>
            <w:tcW w:w="5387" w:type="dxa"/>
          </w:tcPr>
          <w:p w:rsidR="00DE6136" w:rsidRPr="00B30677" w:rsidRDefault="00DE6136" w:rsidP="001146BD">
            <w:pPr>
              <w:tabs>
                <w:tab w:val="left" w:pos="4253"/>
              </w:tabs>
              <w:spacing w:before="120"/>
              <w:jc w:val="both"/>
              <w:rPr>
                <w:color w:val="000000"/>
                <w:sz w:val="22"/>
                <w:szCs w:val="19"/>
              </w:rPr>
            </w:pPr>
            <w:r w:rsidRPr="00B30677">
              <w:rPr>
                <w:color w:val="000000"/>
                <w:sz w:val="22"/>
                <w:szCs w:val="19"/>
              </w:rPr>
              <w:t xml:space="preserve">Limite prudencial </w:t>
            </w:r>
            <w:r w:rsidR="00E44BDC" w:rsidRPr="00B30677">
              <w:rPr>
                <w:color w:val="000000"/>
                <w:sz w:val="22"/>
                <w:szCs w:val="19"/>
              </w:rPr>
              <w:t>cfe.</w:t>
            </w:r>
            <w:r w:rsidRPr="00B30677">
              <w:rPr>
                <w:color w:val="000000"/>
                <w:sz w:val="22"/>
                <w:szCs w:val="19"/>
              </w:rPr>
              <w:t xml:space="preserve"> art. 22, § único da LRF.</w:t>
            </w:r>
          </w:p>
        </w:tc>
        <w:tc>
          <w:tcPr>
            <w:tcW w:w="2410" w:type="dxa"/>
            <w:vAlign w:val="bottom"/>
          </w:tcPr>
          <w:p w:rsidR="00DE6136" w:rsidRDefault="00DE6136" w:rsidP="00114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R$             12.776.296,01 </w:t>
            </w:r>
          </w:p>
        </w:tc>
        <w:tc>
          <w:tcPr>
            <w:tcW w:w="1559" w:type="dxa"/>
          </w:tcPr>
          <w:p w:rsidR="00DE6136" w:rsidRPr="009E33DA" w:rsidRDefault="00DE6136" w:rsidP="001146BD">
            <w:pPr>
              <w:tabs>
                <w:tab w:val="left" w:pos="4253"/>
              </w:tabs>
              <w:spacing w:before="120"/>
              <w:jc w:val="center"/>
              <w:rPr>
                <w:sz w:val="22"/>
                <w:szCs w:val="19"/>
              </w:rPr>
            </w:pPr>
            <w:r w:rsidRPr="009E33DA">
              <w:rPr>
                <w:sz w:val="22"/>
                <w:szCs w:val="19"/>
              </w:rPr>
              <w:t>51,30 s/RCL</w:t>
            </w:r>
          </w:p>
        </w:tc>
      </w:tr>
      <w:tr w:rsidR="00DE6136" w:rsidRPr="00B30677" w:rsidTr="001146BD">
        <w:tc>
          <w:tcPr>
            <w:tcW w:w="5387" w:type="dxa"/>
          </w:tcPr>
          <w:p w:rsidR="00DE6136" w:rsidRPr="00B30677" w:rsidRDefault="00DE6136" w:rsidP="001146BD">
            <w:pPr>
              <w:tabs>
                <w:tab w:val="left" w:pos="4253"/>
              </w:tabs>
              <w:spacing w:before="120"/>
              <w:jc w:val="both"/>
              <w:rPr>
                <w:color w:val="000000"/>
                <w:sz w:val="22"/>
                <w:szCs w:val="19"/>
              </w:rPr>
            </w:pPr>
            <w:r w:rsidRPr="00B30677">
              <w:rPr>
                <w:color w:val="000000"/>
                <w:sz w:val="22"/>
                <w:szCs w:val="19"/>
              </w:rPr>
              <w:t>Limite legal cfe. Art.20, III, “b” da LRF</w:t>
            </w:r>
          </w:p>
        </w:tc>
        <w:tc>
          <w:tcPr>
            <w:tcW w:w="2410" w:type="dxa"/>
            <w:vAlign w:val="bottom"/>
          </w:tcPr>
          <w:p w:rsidR="00DE6136" w:rsidRDefault="00DE6136" w:rsidP="001146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R$            13.448.732,64 </w:t>
            </w:r>
          </w:p>
        </w:tc>
        <w:tc>
          <w:tcPr>
            <w:tcW w:w="1559" w:type="dxa"/>
          </w:tcPr>
          <w:p w:rsidR="00DE6136" w:rsidRPr="009E33DA" w:rsidRDefault="00DE6136" w:rsidP="001146BD">
            <w:pPr>
              <w:tabs>
                <w:tab w:val="left" w:pos="4253"/>
              </w:tabs>
              <w:spacing w:before="120"/>
              <w:jc w:val="center"/>
              <w:rPr>
                <w:sz w:val="22"/>
                <w:szCs w:val="19"/>
              </w:rPr>
            </w:pPr>
            <w:r w:rsidRPr="009E33DA">
              <w:rPr>
                <w:sz w:val="22"/>
                <w:szCs w:val="19"/>
              </w:rPr>
              <w:t>54,00% RCL</w:t>
            </w:r>
          </w:p>
        </w:tc>
      </w:tr>
    </w:tbl>
    <w:p w:rsidR="00DE6136" w:rsidRDefault="00DE6136" w:rsidP="00DE6136">
      <w:pPr>
        <w:pStyle w:val="Corpodetexto"/>
        <w:tabs>
          <w:tab w:val="left" w:pos="4253"/>
        </w:tabs>
        <w:rPr>
          <w:color w:val="000000"/>
          <w:sz w:val="22"/>
          <w:szCs w:val="22"/>
        </w:rPr>
      </w:pPr>
      <w:r w:rsidRPr="00B30677">
        <w:rPr>
          <w:color w:val="000000"/>
          <w:sz w:val="22"/>
          <w:szCs w:val="22"/>
        </w:rPr>
        <w:t xml:space="preserve"> </w:t>
      </w:r>
      <w:r w:rsidRPr="00B30677">
        <w:rPr>
          <w:b/>
          <w:color w:val="000000"/>
          <w:sz w:val="22"/>
          <w:szCs w:val="22"/>
        </w:rPr>
        <w:t xml:space="preserve">Observações: </w:t>
      </w:r>
      <w:r w:rsidRPr="00B30677">
        <w:rPr>
          <w:bCs/>
          <w:color w:val="000000"/>
          <w:sz w:val="22"/>
          <w:szCs w:val="22"/>
        </w:rPr>
        <w:t>O índice</w:t>
      </w:r>
      <w:r w:rsidRPr="00B30677">
        <w:rPr>
          <w:color w:val="000000"/>
          <w:sz w:val="22"/>
          <w:szCs w:val="22"/>
        </w:rPr>
        <w:t xml:space="preserve"> de despesa com pessoal ficou em </w:t>
      </w:r>
      <w:r>
        <w:rPr>
          <w:b/>
          <w:sz w:val="22"/>
          <w:szCs w:val="22"/>
        </w:rPr>
        <w:t>48,1</w:t>
      </w:r>
      <w:r w:rsidR="00D61DBC">
        <w:rPr>
          <w:b/>
          <w:sz w:val="22"/>
          <w:szCs w:val="22"/>
        </w:rPr>
        <w:t>2</w:t>
      </w:r>
      <w:r w:rsidRPr="000329CB">
        <w:rPr>
          <w:b/>
          <w:sz w:val="22"/>
          <w:szCs w:val="22"/>
        </w:rPr>
        <w:t xml:space="preserve"> %</w:t>
      </w:r>
      <w:r w:rsidRPr="000329CB">
        <w:rPr>
          <w:sz w:val="22"/>
          <w:szCs w:val="22"/>
        </w:rPr>
        <w:t xml:space="preserve"> da</w:t>
      </w:r>
      <w:r w:rsidRPr="00B30677">
        <w:rPr>
          <w:color w:val="000000"/>
          <w:sz w:val="22"/>
          <w:szCs w:val="22"/>
        </w:rPr>
        <w:t xml:space="preserve"> Receita Corrente Liquida 201</w:t>
      </w:r>
      <w:r>
        <w:rPr>
          <w:color w:val="000000"/>
          <w:sz w:val="22"/>
          <w:szCs w:val="22"/>
        </w:rPr>
        <w:t>6</w:t>
      </w:r>
      <w:r w:rsidRPr="00B30677">
        <w:rPr>
          <w:color w:val="000000"/>
          <w:sz w:val="22"/>
          <w:szCs w:val="22"/>
        </w:rPr>
        <w:t xml:space="preserve">.  </w:t>
      </w:r>
    </w:p>
    <w:p w:rsidR="00CB6124" w:rsidRDefault="00911E8C" w:rsidP="00CB6124">
      <w:pPr>
        <w:pStyle w:val="Recuodecorpodetexto21"/>
        <w:tabs>
          <w:tab w:val="left" w:pos="2268"/>
        </w:tabs>
        <w:spacing w:before="119" w:after="0" w:line="360" w:lineRule="auto"/>
        <w:ind w:left="0"/>
        <w:jc w:val="both"/>
        <w:rPr>
          <w:b/>
          <w:szCs w:val="22"/>
        </w:rPr>
      </w:pPr>
      <w:r>
        <w:rPr>
          <w:b/>
          <w:szCs w:val="22"/>
        </w:rPr>
        <w:t xml:space="preserve">  </w:t>
      </w:r>
      <w:r w:rsidR="00CB6124" w:rsidRPr="00672F9F">
        <w:rPr>
          <w:rFonts w:ascii="Times New Roman" w:hAnsi="Times New Roman"/>
          <w:b/>
          <w:szCs w:val="22"/>
        </w:rPr>
        <w:t>1</w:t>
      </w:r>
      <w:r w:rsidR="00F4094C">
        <w:rPr>
          <w:rFonts w:ascii="Times New Roman" w:hAnsi="Times New Roman"/>
          <w:b/>
          <w:szCs w:val="22"/>
        </w:rPr>
        <w:t>2</w:t>
      </w:r>
      <w:r w:rsidR="00CB6124" w:rsidRPr="00672F9F">
        <w:rPr>
          <w:rFonts w:ascii="Times New Roman" w:hAnsi="Times New Roman"/>
          <w:b/>
          <w:szCs w:val="22"/>
        </w:rPr>
        <w:t>-Exame da gestão dos regimes próprios de previdência</w:t>
      </w:r>
      <w:r w:rsidR="00CB6124">
        <w:rPr>
          <w:b/>
          <w:szCs w:val="22"/>
        </w:rPr>
        <w:t>;</w:t>
      </w:r>
    </w:p>
    <w:p w:rsidR="00CB6124" w:rsidRPr="00CB6124" w:rsidRDefault="00CB6124" w:rsidP="00632F16">
      <w:pPr>
        <w:pStyle w:val="Recuodecorpodetexto21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color w:val="000000"/>
          <w:szCs w:val="22"/>
        </w:rPr>
        <w:tab/>
      </w:r>
      <w:r w:rsidRPr="00CB6124">
        <w:rPr>
          <w:rFonts w:ascii="Times New Roman" w:hAnsi="Times New Roman"/>
          <w:color w:val="000000"/>
          <w:sz w:val="24"/>
          <w:szCs w:val="24"/>
        </w:rPr>
        <w:t>No tocante a gestão do Regime Próprio de Previdência Social – RPPS ratifica-se a documentação elaborada pelo Conselho Municipal de Previdência, destacando-se o que segue: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a) O Regime está amparado em cálculo atuarial inicial;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b) O cálculo atuarial é refeito a cada exercício;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c) As alíquotas indicadas pelo cálculo são as que constam na lei municipal;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d) A cobrança das alíquotas majoradas obedece ao prazo mínimo de 90 dias;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e) Os percentuais de contribuição do Município e dos segurados – ativos e inativos – obedecem aos limites mínimos e máximos;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f) As alíquotas de contribuição previdenciária, cota do servidor, incidem sobre a base de cálculo estabelecida em lei;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g) Os recursos do RPPS são aplicados nos limites definidos pelo Conselho Monetário Nacional;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h) Os recursos previdenciários não são utilizados para custeio de plano de saúde;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i) Os recursos previdenciários não são utilizados para empréstimo aos servidores ou ao Município;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j) Os benefícios garantidos pelo RPPS, salvo os que decorrem da Constituição da República, não são distintos dos garantidos pelo Regime Geral de Previdência Social – RGPS;</w:t>
      </w:r>
    </w:p>
    <w:p w:rsidR="00CB6124" w:rsidRPr="00CB6124" w:rsidRDefault="00CB6124" w:rsidP="00632F16">
      <w:pPr>
        <w:pStyle w:val="Recuodecorpodetexto21"/>
        <w:tabs>
          <w:tab w:val="left" w:pos="1418"/>
          <w:tab w:val="left" w:pos="226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l) Regime paga somente os benefícios previdenciários e as despesas administrativas;</w:t>
      </w:r>
    </w:p>
    <w:p w:rsidR="00CB6124" w:rsidRPr="00CB6124" w:rsidRDefault="00CB6124" w:rsidP="00632F16">
      <w:pPr>
        <w:pStyle w:val="Recuodecorpodetexto21"/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</w:r>
      <w:r w:rsidR="00632F16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CB6124">
        <w:rPr>
          <w:rFonts w:ascii="Times New Roman" w:hAnsi="Times New Roman"/>
          <w:color w:val="000000"/>
          <w:sz w:val="24"/>
          <w:szCs w:val="24"/>
        </w:rPr>
        <w:t xml:space="preserve">m) </w:t>
      </w:r>
      <w:r w:rsidR="00E44BDC" w:rsidRPr="00CB6124">
        <w:rPr>
          <w:rFonts w:ascii="Times New Roman" w:hAnsi="Times New Roman"/>
          <w:color w:val="000000"/>
          <w:sz w:val="24"/>
          <w:szCs w:val="24"/>
        </w:rPr>
        <w:t>Os pagamentos das despesas administrativas contam</w:t>
      </w:r>
      <w:r w:rsidRPr="00CB6124">
        <w:rPr>
          <w:rFonts w:ascii="Times New Roman" w:hAnsi="Times New Roman"/>
          <w:color w:val="000000"/>
          <w:sz w:val="24"/>
          <w:szCs w:val="24"/>
        </w:rPr>
        <w:t xml:space="preserve"> com autorização e obedecem ao limite legal;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n) É garantido aos servidores ativos e inativos, amplo acesso às informações do RPPS;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o) O regime cobre somente servidores ocupantes de cargo efetivo;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p) A conta do regime é distinta da conta do Município;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lastRenderedPageBreak/>
        <w:tab/>
        <w:t>q) Os servidores (ativos e inativos) estão representados nas instâncias ou colegiados do regime;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r) É disponibilizado aos segurados registro individualizado das suas contribuições;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s) O Município está recolhendo e repassando os valores ao RPPS, conforme as alíquotas previstas na Lei Municipal;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t) Nos casos de atraso estão sendo pagos os acréscimos legais;</w:t>
      </w:r>
    </w:p>
    <w:p w:rsidR="00CB6124" w:rsidRPr="00CB6124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  <w:t>u) Está sendo corretamente operacionalizada a compensação previdenciária;</w:t>
      </w:r>
    </w:p>
    <w:p w:rsidR="00CB6124" w:rsidRPr="002B6C21" w:rsidRDefault="00CB6124" w:rsidP="00632F16">
      <w:pPr>
        <w:pStyle w:val="Recuodecorpodetexto21"/>
        <w:tabs>
          <w:tab w:val="left" w:pos="1418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6124">
        <w:rPr>
          <w:rFonts w:ascii="Times New Roman" w:hAnsi="Times New Roman"/>
          <w:color w:val="000000"/>
          <w:sz w:val="24"/>
          <w:szCs w:val="24"/>
        </w:rPr>
        <w:tab/>
      </w:r>
      <w:r w:rsidRPr="00311CDD">
        <w:rPr>
          <w:rFonts w:ascii="Times New Roman" w:hAnsi="Times New Roman"/>
          <w:sz w:val="24"/>
          <w:szCs w:val="24"/>
        </w:rPr>
        <w:t xml:space="preserve">v) O RPPS está atendendo todas as exigências do Ministério da Previdência Social – MPS para obtenção do Certificado de Regularidade Previdenciária – CRP, que está vigente até </w:t>
      </w:r>
      <w:r w:rsidR="002B6C21" w:rsidRPr="002B6C21">
        <w:rPr>
          <w:rFonts w:ascii="Times New Roman" w:hAnsi="Times New Roman"/>
          <w:sz w:val="24"/>
          <w:szCs w:val="24"/>
        </w:rPr>
        <w:t>08/03/2016.</w:t>
      </w:r>
    </w:p>
    <w:p w:rsidR="00575B6B" w:rsidRDefault="00632F16" w:rsidP="00575B6B">
      <w:pPr>
        <w:pStyle w:val="Recuodecorpodetexto21"/>
        <w:tabs>
          <w:tab w:val="left" w:pos="2268"/>
        </w:tabs>
        <w:spacing w:before="119" w:after="0" w:line="36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632F16">
        <w:rPr>
          <w:rFonts w:ascii="Times New Roman" w:hAnsi="Times New Roman"/>
          <w:sz w:val="24"/>
          <w:szCs w:val="24"/>
        </w:rPr>
        <w:t>Constatamos</w:t>
      </w:r>
      <w:r w:rsidR="00E44BDC">
        <w:rPr>
          <w:rFonts w:ascii="Times New Roman" w:hAnsi="Times New Roman"/>
          <w:sz w:val="24"/>
          <w:szCs w:val="24"/>
        </w:rPr>
        <w:t xml:space="preserve"> </w:t>
      </w:r>
      <w:r w:rsidR="00575B6B">
        <w:rPr>
          <w:rFonts w:ascii="Times New Roman" w:hAnsi="Times New Roman"/>
          <w:sz w:val="24"/>
          <w:szCs w:val="24"/>
        </w:rPr>
        <w:t>que o</w:t>
      </w:r>
      <w:r w:rsidR="00575B6B" w:rsidRPr="00CB6124">
        <w:rPr>
          <w:rFonts w:ascii="Times New Roman" w:hAnsi="Times New Roman"/>
          <w:color w:val="000000"/>
          <w:sz w:val="24"/>
          <w:szCs w:val="24"/>
        </w:rPr>
        <w:t>s recursos do RPPS são aplicados nos limites definidos pelo Conselho Monetário Nacional</w:t>
      </w:r>
      <w:r w:rsidR="00D96B55">
        <w:rPr>
          <w:rFonts w:ascii="Times New Roman" w:hAnsi="Times New Roman"/>
          <w:color w:val="000000"/>
          <w:sz w:val="24"/>
          <w:szCs w:val="24"/>
        </w:rPr>
        <w:t xml:space="preserve"> como segue:</w:t>
      </w:r>
      <w:r w:rsidR="00575B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1"/>
      </w:tblGrid>
      <w:tr w:rsidR="00520D50" w:rsidRPr="00D95EBF" w:rsidTr="007F0C7D">
        <w:trPr>
          <w:trHeight w:val="285"/>
        </w:trPr>
        <w:tc>
          <w:tcPr>
            <w:tcW w:w="9371" w:type="dxa"/>
            <w:shd w:val="clear" w:color="auto" w:fill="auto"/>
            <w:noWrap/>
            <w:vAlign w:val="bottom"/>
            <w:hideMark/>
          </w:tcPr>
          <w:p w:rsidR="00083451" w:rsidRDefault="00D96B55" w:rsidP="00F476DD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520D50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BANRISUL </w:t>
            </w:r>
          </w:p>
          <w:p w:rsidR="00F476DD" w:rsidRPr="007F0C7D" w:rsidRDefault="00F476DD" w:rsidP="00F476DD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Conta corrente                                                                                                      </w:t>
            </w:r>
            <w:r w:rsidR="00083451">
              <w:rPr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7F0C7D" w:rsidRPr="007F0C7D">
              <w:rPr>
                <w:bCs/>
                <w:color w:val="000000"/>
                <w:sz w:val="24"/>
                <w:szCs w:val="24"/>
              </w:rPr>
              <w:t>8.00</w:t>
            </w:r>
          </w:p>
          <w:p w:rsidR="00F476DD" w:rsidRPr="00D95EBF" w:rsidRDefault="00F476DD" w:rsidP="00F476DD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Prev. Municipal FI Renda Fixa LP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  <w:proofErr w:type="gramStart"/>
            <w:r w:rsidR="00E44BDC">
              <w:rPr>
                <w:color w:val="000000"/>
                <w:sz w:val="24"/>
                <w:szCs w:val="24"/>
              </w:rPr>
              <w:t>1.171.034,05</w:t>
            </w:r>
            <w:proofErr w:type="gramEnd"/>
          </w:p>
          <w:p w:rsidR="00F476DD" w:rsidRPr="00D95EBF" w:rsidRDefault="00F476DD" w:rsidP="00F476DD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Prev. Municipal II FI Renda Fixa LP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proofErr w:type="gramStart"/>
            <w:r w:rsidR="00E44BDC">
              <w:rPr>
                <w:color w:val="000000"/>
                <w:sz w:val="24"/>
                <w:szCs w:val="24"/>
              </w:rPr>
              <w:t>1.154.720,09</w:t>
            </w:r>
            <w:proofErr w:type="gramEnd"/>
          </w:p>
          <w:p w:rsidR="00F476DD" w:rsidRPr="00D95EBF" w:rsidRDefault="00F476DD" w:rsidP="00F476DD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Prev. Municipal III FI Renda Fixa LP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proofErr w:type="gramStart"/>
            <w:r w:rsidR="00E44BDC">
              <w:rPr>
                <w:color w:val="000000"/>
                <w:sz w:val="24"/>
                <w:szCs w:val="24"/>
              </w:rPr>
              <w:t>1.092.686,06</w:t>
            </w:r>
            <w:proofErr w:type="gramEnd"/>
          </w:p>
          <w:p w:rsidR="00F476DD" w:rsidRPr="00D95EBF" w:rsidRDefault="00F476DD" w:rsidP="00F476DD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Prev. Municipal IV FI Renda Fixa LP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proofErr w:type="gramStart"/>
            <w:r w:rsidR="00E44BDC">
              <w:rPr>
                <w:color w:val="000000"/>
                <w:sz w:val="24"/>
                <w:szCs w:val="24"/>
              </w:rPr>
              <w:t>557.160,18</w:t>
            </w:r>
            <w:proofErr w:type="gramEnd"/>
          </w:p>
          <w:p w:rsidR="00F476DD" w:rsidRDefault="00F476DD" w:rsidP="00F476DD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</w:t>
            </w:r>
            <w:r>
              <w:rPr>
                <w:color w:val="000000"/>
                <w:sz w:val="24"/>
                <w:szCs w:val="24"/>
              </w:rPr>
              <w:t xml:space="preserve">SOBERANO FI Renda Fixa LP                                                                        </w:t>
            </w:r>
            <w:proofErr w:type="gramStart"/>
            <w:r>
              <w:rPr>
                <w:color w:val="000000"/>
                <w:sz w:val="24"/>
                <w:szCs w:val="24"/>
              </w:rPr>
              <w:t>2.</w:t>
            </w:r>
            <w:r w:rsidR="007F0C7D">
              <w:rPr>
                <w:color w:val="000000"/>
                <w:sz w:val="24"/>
                <w:szCs w:val="24"/>
              </w:rPr>
              <w:t>744.848,83</w:t>
            </w:r>
            <w:proofErr w:type="gramEnd"/>
          </w:p>
          <w:p w:rsidR="00F476DD" w:rsidRDefault="00F476DD" w:rsidP="00F476DD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 xml:space="preserve">Prev. </w:t>
            </w:r>
            <w:r>
              <w:rPr>
                <w:color w:val="000000"/>
                <w:sz w:val="24"/>
                <w:szCs w:val="24"/>
              </w:rPr>
              <w:t xml:space="preserve">IPCA 2024 FI Renda Fixa LP                                                                              </w:t>
            </w:r>
            <w:proofErr w:type="gramStart"/>
            <w:r w:rsidR="007F0C7D">
              <w:rPr>
                <w:color w:val="000000"/>
                <w:sz w:val="24"/>
                <w:szCs w:val="24"/>
              </w:rPr>
              <w:t>378.282,00</w:t>
            </w:r>
            <w:proofErr w:type="gramEnd"/>
          </w:p>
          <w:p w:rsidR="00F476DD" w:rsidRDefault="00F476DD" w:rsidP="00F476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Prev. FOCO IRF-MI Renda Fixa LP                                                                          </w:t>
            </w:r>
            <w:proofErr w:type="gramStart"/>
            <w:r w:rsidR="007F0C7D">
              <w:rPr>
                <w:color w:val="000000"/>
                <w:sz w:val="24"/>
                <w:szCs w:val="24"/>
              </w:rPr>
              <w:t>3.335.164,39</w:t>
            </w:r>
            <w:proofErr w:type="gramEnd"/>
          </w:p>
          <w:p w:rsidR="00520D50" w:rsidRPr="00D95EBF" w:rsidRDefault="00F476DD" w:rsidP="007F0C7D">
            <w:pPr>
              <w:jc w:val="right"/>
              <w:rPr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...................................................................................................................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7F0C7D">
              <w:rPr>
                <w:b/>
                <w:bCs/>
                <w:color w:val="000000"/>
                <w:sz w:val="24"/>
                <w:szCs w:val="24"/>
              </w:rPr>
              <w:t>10.433.903,60</w:t>
            </w:r>
          </w:p>
        </w:tc>
      </w:tr>
    </w:tbl>
    <w:p w:rsidR="00520D50" w:rsidRPr="00BA0C0F" w:rsidRDefault="00520D50" w:rsidP="00BF31FA">
      <w:pPr>
        <w:jc w:val="both"/>
        <w:rPr>
          <w:b/>
          <w:sz w:val="24"/>
          <w:szCs w:val="24"/>
          <w:u w:val="single"/>
        </w:rPr>
      </w:pPr>
      <w:r w:rsidRPr="00BA0C0F">
        <w:rPr>
          <w:b/>
          <w:sz w:val="24"/>
          <w:szCs w:val="24"/>
          <w:u w:val="single"/>
        </w:rPr>
        <w:t>BANCO DO BRASIL S.A</w:t>
      </w:r>
    </w:p>
    <w:p w:rsidR="00F476DD" w:rsidRPr="00D95EBF" w:rsidRDefault="00F476DD" w:rsidP="00E44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95EBF">
        <w:rPr>
          <w:color w:val="000000"/>
          <w:sz w:val="24"/>
          <w:szCs w:val="24"/>
        </w:rPr>
        <w:t xml:space="preserve">B.B. Renda Fixa INSS </w:t>
      </w:r>
      <w:proofErr w:type="spellStart"/>
      <w:r w:rsidRPr="00D95EBF">
        <w:rPr>
          <w:color w:val="000000"/>
          <w:sz w:val="24"/>
          <w:szCs w:val="24"/>
        </w:rPr>
        <w:t>Previd</w:t>
      </w:r>
      <w:proofErr w:type="spellEnd"/>
      <w:r w:rsidR="00E44BDC">
        <w:rPr>
          <w:color w:val="000000"/>
          <w:sz w:val="24"/>
          <w:szCs w:val="24"/>
        </w:rPr>
        <w:t>.</w:t>
      </w:r>
      <w:r w:rsidRPr="00D95EBF">
        <w:rPr>
          <w:color w:val="000000"/>
          <w:sz w:val="24"/>
          <w:szCs w:val="24"/>
        </w:rPr>
        <w:t xml:space="preserve"> IMA-B</w:t>
      </w:r>
      <w:r>
        <w:rPr>
          <w:color w:val="000000"/>
          <w:sz w:val="24"/>
          <w:szCs w:val="24"/>
        </w:rPr>
        <w:t xml:space="preserve">                                                                           </w:t>
      </w:r>
      <w:r w:rsidR="007F0C7D">
        <w:rPr>
          <w:color w:val="000000"/>
          <w:sz w:val="24"/>
          <w:szCs w:val="24"/>
        </w:rPr>
        <w:t>846.347,01</w:t>
      </w:r>
    </w:p>
    <w:p w:rsidR="00F476DD" w:rsidRPr="00D95EBF" w:rsidRDefault="00F476DD" w:rsidP="00E44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 w:rsidRPr="00D95EBF">
        <w:rPr>
          <w:color w:val="000000"/>
          <w:sz w:val="24"/>
          <w:szCs w:val="24"/>
        </w:rPr>
        <w:t xml:space="preserve">B.B. </w:t>
      </w:r>
      <w:proofErr w:type="spellStart"/>
      <w:proofErr w:type="gramStart"/>
      <w:r w:rsidRPr="00D95EBF">
        <w:rPr>
          <w:color w:val="000000"/>
          <w:sz w:val="24"/>
          <w:szCs w:val="24"/>
        </w:rPr>
        <w:t>Previd</w:t>
      </w:r>
      <w:r w:rsidR="00E44BDC">
        <w:rPr>
          <w:color w:val="000000"/>
          <w:sz w:val="24"/>
          <w:szCs w:val="24"/>
        </w:rPr>
        <w:t>.</w:t>
      </w:r>
      <w:proofErr w:type="gramEnd"/>
      <w:r w:rsidRPr="00D95EBF">
        <w:rPr>
          <w:color w:val="000000"/>
          <w:sz w:val="24"/>
          <w:szCs w:val="24"/>
        </w:rPr>
        <w:t>Referenciado</w:t>
      </w:r>
      <w:proofErr w:type="spellEnd"/>
      <w:r w:rsidRPr="00D95EBF">
        <w:rPr>
          <w:color w:val="000000"/>
          <w:sz w:val="24"/>
          <w:szCs w:val="24"/>
        </w:rPr>
        <w:t xml:space="preserve"> IRF-M1</w:t>
      </w:r>
      <w:r>
        <w:rPr>
          <w:color w:val="000000"/>
          <w:sz w:val="24"/>
          <w:szCs w:val="24"/>
        </w:rPr>
        <w:t xml:space="preserve">                                                                            </w:t>
      </w:r>
      <w:r w:rsidR="00E44BD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7F0C7D">
        <w:rPr>
          <w:color w:val="000000"/>
          <w:sz w:val="24"/>
          <w:szCs w:val="24"/>
        </w:rPr>
        <w:t>2.840.979,77</w:t>
      </w:r>
    </w:p>
    <w:p w:rsidR="00F476DD" w:rsidRDefault="00F476DD" w:rsidP="00E44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proofErr w:type="spellStart"/>
      <w:r w:rsidRPr="00D95EBF">
        <w:rPr>
          <w:color w:val="000000"/>
          <w:sz w:val="24"/>
          <w:szCs w:val="24"/>
        </w:rPr>
        <w:t>B.B.Previd</w:t>
      </w:r>
      <w:proofErr w:type="spellEnd"/>
      <w:r w:rsidR="00E44BDC">
        <w:rPr>
          <w:color w:val="000000"/>
          <w:sz w:val="24"/>
          <w:szCs w:val="24"/>
        </w:rPr>
        <w:t>.</w:t>
      </w:r>
      <w:r w:rsidRPr="00D95EBF">
        <w:rPr>
          <w:color w:val="000000"/>
          <w:sz w:val="24"/>
          <w:szCs w:val="24"/>
        </w:rPr>
        <w:t xml:space="preserve"> RF Perfil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E44BD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7F0C7D">
        <w:rPr>
          <w:color w:val="000000"/>
          <w:sz w:val="24"/>
          <w:szCs w:val="24"/>
        </w:rPr>
        <w:t>2.334.680,63</w:t>
      </w:r>
    </w:p>
    <w:p w:rsidR="00F476DD" w:rsidRPr="00D95EBF" w:rsidRDefault="00F476DD" w:rsidP="00E44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Ações</w:t>
      </w:r>
      <w:r w:rsidRPr="00D95EBF">
        <w:rPr>
          <w:color w:val="000000"/>
          <w:sz w:val="24"/>
          <w:szCs w:val="24"/>
        </w:rPr>
        <w:t xml:space="preserve"> Petrobras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E44B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</w:t>
      </w:r>
      <w:r w:rsidR="0049035F">
        <w:rPr>
          <w:color w:val="000000"/>
          <w:sz w:val="24"/>
          <w:szCs w:val="24"/>
        </w:rPr>
        <w:t>55.108,03</w:t>
      </w:r>
    </w:p>
    <w:p w:rsidR="00F476DD" w:rsidRPr="00D95EBF" w:rsidRDefault="00F476DD" w:rsidP="00E44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BB </w:t>
      </w:r>
      <w:proofErr w:type="spellStart"/>
      <w:r>
        <w:rPr>
          <w:color w:val="000000"/>
          <w:sz w:val="24"/>
          <w:szCs w:val="24"/>
        </w:rPr>
        <w:t>previd</w:t>
      </w:r>
      <w:proofErr w:type="spellEnd"/>
      <w:r>
        <w:rPr>
          <w:color w:val="000000"/>
          <w:sz w:val="24"/>
          <w:szCs w:val="24"/>
        </w:rPr>
        <w:t xml:space="preserve"> RF FLUXO                                                                                                 </w:t>
      </w:r>
      <w:r w:rsidR="00E44B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</w:t>
      </w:r>
      <w:r w:rsidR="0049035F">
        <w:rPr>
          <w:color w:val="000000"/>
          <w:sz w:val="24"/>
          <w:szCs w:val="24"/>
        </w:rPr>
        <w:t>987.613,52</w:t>
      </w:r>
    </w:p>
    <w:p w:rsidR="00F476DD" w:rsidRPr="00D95EBF" w:rsidRDefault="00F476DD" w:rsidP="00E44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BB </w:t>
      </w:r>
      <w:proofErr w:type="spellStart"/>
      <w:r>
        <w:rPr>
          <w:color w:val="000000"/>
          <w:sz w:val="24"/>
          <w:szCs w:val="24"/>
        </w:rPr>
        <w:t>previd</w:t>
      </w:r>
      <w:proofErr w:type="spellEnd"/>
      <w:r>
        <w:rPr>
          <w:color w:val="000000"/>
          <w:sz w:val="24"/>
          <w:szCs w:val="24"/>
        </w:rPr>
        <w:t xml:space="preserve"> RF IDKA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-2                                                                                             </w:t>
      </w:r>
      <w:r w:rsidR="00E44B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49035F">
        <w:rPr>
          <w:color w:val="000000"/>
          <w:sz w:val="24"/>
          <w:szCs w:val="24"/>
        </w:rPr>
        <w:t>2.264.854,60</w:t>
      </w:r>
    </w:p>
    <w:p w:rsidR="00F476DD" w:rsidRDefault="00F476DD" w:rsidP="00E44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BB FAPS FI Brasil </w:t>
      </w:r>
      <w:proofErr w:type="spellStart"/>
      <w:r>
        <w:rPr>
          <w:color w:val="000000"/>
          <w:sz w:val="24"/>
          <w:szCs w:val="24"/>
        </w:rPr>
        <w:t>Previdence</w:t>
      </w:r>
      <w:proofErr w:type="spellEnd"/>
      <w:r>
        <w:rPr>
          <w:color w:val="000000"/>
          <w:sz w:val="24"/>
          <w:szCs w:val="24"/>
        </w:rPr>
        <w:t xml:space="preserve"> IMA B5 RF                                                              </w:t>
      </w:r>
      <w:r w:rsidR="00E44B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49035F">
        <w:rPr>
          <w:color w:val="000000"/>
          <w:sz w:val="24"/>
          <w:szCs w:val="24"/>
        </w:rPr>
        <w:t>1.206.381,32</w:t>
      </w:r>
    </w:p>
    <w:p w:rsidR="00F476DD" w:rsidRDefault="00F476DD" w:rsidP="00E44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0000"/>
          <w:sz w:val="24"/>
          <w:szCs w:val="24"/>
        </w:rPr>
      </w:pPr>
      <w:r w:rsidRPr="00D95EBF">
        <w:rPr>
          <w:b/>
          <w:bCs/>
          <w:color w:val="000000"/>
          <w:sz w:val="24"/>
          <w:szCs w:val="24"/>
        </w:rPr>
        <w:t>Total</w:t>
      </w:r>
      <w:proofErr w:type="gramStart"/>
      <w:r>
        <w:rPr>
          <w:b/>
          <w:bCs/>
          <w:color w:val="000000"/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 w:rsidR="0049035F">
        <w:rPr>
          <w:b/>
          <w:bCs/>
          <w:color w:val="000000"/>
          <w:sz w:val="24"/>
          <w:szCs w:val="24"/>
        </w:rPr>
        <w:t>10.535.964,88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E531AF" w:rsidRPr="00D95EBF" w:rsidTr="00BA0C0F">
        <w:trPr>
          <w:trHeight w:val="315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476DD" w:rsidRPr="00F476DD" w:rsidRDefault="00F476DD" w:rsidP="00F476DD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F476DD">
              <w:rPr>
                <w:b/>
                <w:color w:val="000000"/>
                <w:sz w:val="24"/>
                <w:szCs w:val="24"/>
                <w:u w:val="single"/>
              </w:rPr>
              <w:t>CAIXA ECONOMICA FEDERAL</w:t>
            </w:r>
          </w:p>
          <w:p w:rsidR="0049035F" w:rsidRDefault="00F476DD" w:rsidP="00F476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Caixa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/>
                <w:sz w:val="24"/>
                <w:szCs w:val="24"/>
              </w:rPr>
              <w:t>FI BRASIL 2020 –V                                                                                          3</w:t>
            </w:r>
            <w:r w:rsidR="0049035F">
              <w:rPr>
                <w:color w:val="000000"/>
                <w:sz w:val="24"/>
                <w:szCs w:val="24"/>
              </w:rPr>
              <w:t>50.450,40</w:t>
            </w:r>
          </w:p>
          <w:p w:rsidR="00F476DD" w:rsidRPr="00D95EBF" w:rsidRDefault="00F476DD" w:rsidP="00F476DD">
            <w:pPr>
              <w:rPr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IMA-B Título Público Renda Fixa LP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 w:rsidR="0049035F">
              <w:rPr>
                <w:color w:val="000000"/>
                <w:sz w:val="24"/>
                <w:szCs w:val="24"/>
              </w:rPr>
              <w:t>834.459,18</w:t>
            </w:r>
          </w:p>
          <w:p w:rsidR="00F476DD" w:rsidRDefault="00F476DD" w:rsidP="00F476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 Brasil IRF-MI TP Renda Fixa LP                                                                          2.</w:t>
            </w:r>
            <w:r w:rsidR="0049035F">
              <w:rPr>
                <w:color w:val="000000"/>
                <w:sz w:val="24"/>
                <w:szCs w:val="24"/>
              </w:rPr>
              <w:t>628.308,38</w:t>
            </w:r>
          </w:p>
          <w:p w:rsidR="00F476DD" w:rsidRPr="00D95EBF" w:rsidRDefault="00F476DD" w:rsidP="00F476D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b/>
                <w:bCs/>
                <w:color w:val="000000"/>
                <w:sz w:val="24"/>
                <w:szCs w:val="24"/>
              </w:rPr>
              <w:t>Total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 w:rsidR="0049035F">
              <w:rPr>
                <w:b/>
                <w:bCs/>
                <w:color w:val="000000"/>
                <w:sz w:val="24"/>
                <w:szCs w:val="24"/>
              </w:rPr>
              <w:t>813.217,96</w:t>
            </w:r>
          </w:p>
          <w:p w:rsidR="00F476DD" w:rsidRDefault="00F476DD" w:rsidP="00E531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95EBF">
              <w:rPr>
                <w:color w:val="000000"/>
                <w:sz w:val="24"/>
                <w:szCs w:val="24"/>
              </w:rPr>
              <w:t> </w:t>
            </w:r>
            <w:r w:rsidRPr="00D95EBF">
              <w:rPr>
                <w:b/>
                <w:bCs/>
                <w:color w:val="000000"/>
                <w:sz w:val="24"/>
                <w:szCs w:val="24"/>
              </w:rPr>
              <w:t>Total Carteira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..........................................................................................................</w:t>
            </w:r>
            <w:proofErr w:type="gramEnd"/>
            <w:r w:rsidR="0049035F">
              <w:rPr>
                <w:b/>
                <w:color w:val="000000"/>
                <w:sz w:val="24"/>
                <w:szCs w:val="24"/>
              </w:rPr>
              <w:t>24.783.085,46</w:t>
            </w:r>
          </w:p>
          <w:p w:rsidR="00F476DD" w:rsidRPr="00D95EBF" w:rsidRDefault="00F476DD" w:rsidP="00E531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0D50" w:rsidRDefault="00520D50" w:rsidP="00BF31FA">
      <w:pPr>
        <w:jc w:val="both"/>
        <w:rPr>
          <w:sz w:val="24"/>
          <w:szCs w:val="24"/>
        </w:rPr>
      </w:pPr>
    </w:p>
    <w:p w:rsidR="00520D50" w:rsidRPr="00447B36" w:rsidRDefault="00F736F8" w:rsidP="00BF31FA">
      <w:pPr>
        <w:jc w:val="both"/>
        <w:rPr>
          <w:sz w:val="24"/>
          <w:szCs w:val="24"/>
        </w:rPr>
      </w:pPr>
      <w:r w:rsidRPr="00447B36">
        <w:rPr>
          <w:sz w:val="24"/>
          <w:szCs w:val="24"/>
        </w:rPr>
        <w:t>O Município efetuou</w:t>
      </w:r>
      <w:proofErr w:type="gramStart"/>
      <w:r w:rsidRPr="00447B36">
        <w:rPr>
          <w:sz w:val="24"/>
          <w:szCs w:val="24"/>
        </w:rPr>
        <w:t xml:space="preserve">  </w:t>
      </w:r>
      <w:proofErr w:type="gramEnd"/>
      <w:r w:rsidRPr="00447B36">
        <w:rPr>
          <w:sz w:val="24"/>
          <w:szCs w:val="24"/>
        </w:rPr>
        <w:t xml:space="preserve">04 parcelamento   referente às contribuições previdenciárias para o Fundo </w:t>
      </w:r>
    </w:p>
    <w:p w:rsidR="00BF31FA" w:rsidRPr="00447B36" w:rsidRDefault="00F736F8" w:rsidP="00BF31FA">
      <w:pPr>
        <w:jc w:val="both"/>
        <w:rPr>
          <w:sz w:val="18"/>
          <w:szCs w:val="18"/>
        </w:rPr>
      </w:pPr>
      <w:proofErr w:type="gramStart"/>
      <w:r w:rsidRPr="00447B36">
        <w:rPr>
          <w:sz w:val="24"/>
          <w:szCs w:val="24"/>
        </w:rPr>
        <w:t>de</w:t>
      </w:r>
      <w:proofErr w:type="gramEnd"/>
      <w:r w:rsidRPr="00447B36">
        <w:rPr>
          <w:sz w:val="24"/>
          <w:szCs w:val="24"/>
        </w:rPr>
        <w:t xml:space="preserve"> Aposentadoria dos Servidores </w:t>
      </w:r>
      <w:r w:rsidR="0049035F">
        <w:rPr>
          <w:sz w:val="24"/>
          <w:szCs w:val="24"/>
        </w:rPr>
        <w:t>–</w:t>
      </w:r>
      <w:r w:rsidRPr="00447B36">
        <w:rPr>
          <w:sz w:val="24"/>
          <w:szCs w:val="24"/>
        </w:rPr>
        <w:t xml:space="preserve"> FAPS</w:t>
      </w:r>
      <w:r w:rsidR="0049035F">
        <w:rPr>
          <w:sz w:val="24"/>
          <w:szCs w:val="24"/>
        </w:rPr>
        <w:t>,</w:t>
      </w:r>
      <w:r w:rsidRPr="00447B36">
        <w:rPr>
          <w:sz w:val="24"/>
          <w:szCs w:val="24"/>
        </w:rPr>
        <w:t xml:space="preserve"> </w:t>
      </w:r>
      <w:r w:rsidR="00447B36" w:rsidRPr="00447B36">
        <w:rPr>
          <w:sz w:val="24"/>
          <w:szCs w:val="24"/>
        </w:rPr>
        <w:t>esta  repassando os valores em dia.</w:t>
      </w:r>
    </w:p>
    <w:p w:rsidR="00672F9F" w:rsidRDefault="00672F9F" w:rsidP="00BF31FA"/>
    <w:p w:rsidR="00F924FF" w:rsidRPr="00B170D9" w:rsidRDefault="00F924FF">
      <w:pPr>
        <w:pStyle w:val="Ttulo6"/>
        <w:rPr>
          <w:sz w:val="24"/>
          <w:szCs w:val="24"/>
          <w:u w:val="single"/>
        </w:rPr>
      </w:pPr>
      <w:r w:rsidRPr="00B170D9">
        <w:rPr>
          <w:sz w:val="24"/>
          <w:szCs w:val="24"/>
          <w:u w:val="single"/>
        </w:rPr>
        <w:lastRenderedPageBreak/>
        <w:t>CONCLUSÃO</w:t>
      </w:r>
    </w:p>
    <w:p w:rsidR="00B170D9" w:rsidRPr="00240037" w:rsidRDefault="00B170D9" w:rsidP="00B170D9">
      <w:pPr>
        <w:rPr>
          <w:color w:val="000000"/>
        </w:rPr>
      </w:pPr>
    </w:p>
    <w:p w:rsidR="00F924FF" w:rsidRPr="00240037" w:rsidRDefault="00F924FF" w:rsidP="002A4BB4">
      <w:pPr>
        <w:pStyle w:val="Recuodecorpodetexto"/>
        <w:spacing w:before="0"/>
        <w:ind w:left="0" w:firstLine="1134"/>
        <w:rPr>
          <w:color w:val="000000"/>
          <w:szCs w:val="22"/>
        </w:rPr>
      </w:pPr>
      <w:r w:rsidRPr="00240037">
        <w:rPr>
          <w:color w:val="000000"/>
          <w:szCs w:val="22"/>
        </w:rPr>
        <w:t>Diante do exposto, o Central do Sistema de Controle Interno</w:t>
      </w:r>
      <w:proofErr w:type="gramStart"/>
      <w:r w:rsidRPr="00240037">
        <w:rPr>
          <w:color w:val="000000"/>
          <w:szCs w:val="22"/>
        </w:rPr>
        <w:t xml:space="preserve">  </w:t>
      </w:r>
      <w:proofErr w:type="gramEnd"/>
      <w:r w:rsidRPr="00240037">
        <w:rPr>
          <w:color w:val="000000"/>
          <w:szCs w:val="22"/>
        </w:rPr>
        <w:t>d</w:t>
      </w:r>
      <w:r w:rsidR="00B02CC3" w:rsidRPr="00240037">
        <w:rPr>
          <w:color w:val="000000"/>
          <w:szCs w:val="22"/>
        </w:rPr>
        <w:t>á</w:t>
      </w:r>
      <w:r w:rsidRPr="00240037">
        <w:rPr>
          <w:color w:val="000000"/>
          <w:szCs w:val="22"/>
        </w:rPr>
        <w:t xml:space="preserve"> parecer favorável </w:t>
      </w:r>
      <w:r w:rsidR="000A7DBF" w:rsidRPr="00240037">
        <w:rPr>
          <w:color w:val="000000"/>
          <w:szCs w:val="22"/>
        </w:rPr>
        <w:t xml:space="preserve"> de </w:t>
      </w:r>
      <w:r w:rsidRPr="00240037">
        <w:rPr>
          <w:color w:val="000000"/>
          <w:szCs w:val="22"/>
        </w:rPr>
        <w:t>que as metas previstas no plano plurianual, priorizadas na Lei de Diretrizes Orçamentárias, e os programas do governo municipal elencados na Lei Orçamentária do Exercício 20</w:t>
      </w:r>
      <w:r w:rsidR="00CE14CE" w:rsidRPr="00240037">
        <w:rPr>
          <w:color w:val="000000"/>
          <w:szCs w:val="22"/>
        </w:rPr>
        <w:t>1</w:t>
      </w:r>
      <w:r w:rsidR="0049035F">
        <w:rPr>
          <w:color w:val="000000"/>
          <w:szCs w:val="22"/>
        </w:rPr>
        <w:t>6</w:t>
      </w:r>
      <w:r w:rsidRPr="00240037">
        <w:rPr>
          <w:color w:val="000000"/>
          <w:szCs w:val="22"/>
        </w:rPr>
        <w:t>, foram adequadamente cumpridas com exceção de alguns projetos e atividades cujos objetivos não foram atingidos em razão d</w:t>
      </w:r>
      <w:r w:rsidR="004A4DA1" w:rsidRPr="00240037">
        <w:rPr>
          <w:color w:val="000000"/>
          <w:szCs w:val="22"/>
        </w:rPr>
        <w:t xml:space="preserve">a queda na arrecadação das receitas </w:t>
      </w:r>
      <w:r w:rsidR="0013505F" w:rsidRPr="00240037">
        <w:rPr>
          <w:color w:val="000000"/>
          <w:szCs w:val="22"/>
        </w:rPr>
        <w:t xml:space="preserve"> e </w:t>
      </w:r>
      <w:r w:rsidRPr="00240037">
        <w:rPr>
          <w:color w:val="000000"/>
          <w:szCs w:val="22"/>
        </w:rPr>
        <w:t>aumento dos custos em geral</w:t>
      </w:r>
      <w:r w:rsidR="0013505F" w:rsidRPr="00240037">
        <w:rPr>
          <w:color w:val="000000"/>
          <w:szCs w:val="22"/>
        </w:rPr>
        <w:t xml:space="preserve"> </w:t>
      </w:r>
      <w:r w:rsidRPr="00240037">
        <w:rPr>
          <w:color w:val="000000"/>
          <w:szCs w:val="22"/>
        </w:rPr>
        <w:t xml:space="preserve">.  </w:t>
      </w:r>
    </w:p>
    <w:p w:rsidR="00F924FF" w:rsidRPr="0087330E" w:rsidRDefault="00162811" w:rsidP="002A4BB4">
      <w:pPr>
        <w:tabs>
          <w:tab w:val="left" w:pos="3402"/>
        </w:tabs>
        <w:spacing w:line="360" w:lineRule="auto"/>
        <w:ind w:firstLine="1134"/>
        <w:jc w:val="both"/>
        <w:rPr>
          <w:color w:val="548DD4"/>
          <w:sz w:val="22"/>
          <w:szCs w:val="22"/>
        </w:rPr>
      </w:pPr>
      <w:r w:rsidRPr="0087330E">
        <w:rPr>
          <w:color w:val="548DD4"/>
          <w:sz w:val="22"/>
          <w:szCs w:val="22"/>
        </w:rPr>
        <w:t xml:space="preserve"> </w:t>
      </w:r>
      <w:r w:rsidR="00F924FF" w:rsidRPr="00240037">
        <w:rPr>
          <w:color w:val="000000"/>
          <w:sz w:val="22"/>
          <w:szCs w:val="22"/>
        </w:rPr>
        <w:t>De outra parte, no que se refere à legalidade dos atos de gestão financeira orçamentária, financeira e patrimonial, salvo melhor juízo, foi</w:t>
      </w:r>
      <w:proofErr w:type="gramStart"/>
      <w:r w:rsidR="00F924FF" w:rsidRPr="00240037">
        <w:rPr>
          <w:color w:val="000000"/>
          <w:sz w:val="22"/>
          <w:szCs w:val="22"/>
        </w:rPr>
        <w:t xml:space="preserve">  </w:t>
      </w:r>
      <w:proofErr w:type="gramEnd"/>
      <w:r w:rsidR="00F924FF" w:rsidRPr="00240037">
        <w:rPr>
          <w:color w:val="000000"/>
          <w:sz w:val="22"/>
          <w:szCs w:val="22"/>
        </w:rPr>
        <w:t>observada. Quanto à</w:t>
      </w:r>
      <w:proofErr w:type="gramStart"/>
      <w:r w:rsidR="00F924FF" w:rsidRPr="00240037">
        <w:rPr>
          <w:color w:val="000000"/>
          <w:sz w:val="22"/>
          <w:szCs w:val="22"/>
        </w:rPr>
        <w:t xml:space="preserve">  </w:t>
      </w:r>
      <w:proofErr w:type="gramEnd"/>
      <w:r w:rsidR="00F924FF" w:rsidRPr="00240037">
        <w:rPr>
          <w:color w:val="000000"/>
          <w:sz w:val="22"/>
          <w:szCs w:val="22"/>
        </w:rPr>
        <w:t>eficiência, da gestão, os resultados obtidos foram os previstos nas leis orçamentárias com proveito para a coletividade atendida</w:t>
      </w:r>
      <w:r w:rsidR="00F924FF" w:rsidRPr="0087330E">
        <w:rPr>
          <w:color w:val="548DD4"/>
          <w:sz w:val="22"/>
          <w:szCs w:val="22"/>
        </w:rPr>
        <w:t>.</w:t>
      </w:r>
    </w:p>
    <w:p w:rsidR="003E0522" w:rsidRPr="00D61DBC" w:rsidRDefault="003E0522" w:rsidP="002A4BB4">
      <w:pPr>
        <w:tabs>
          <w:tab w:val="left" w:pos="3402"/>
        </w:tabs>
        <w:spacing w:line="360" w:lineRule="auto"/>
        <w:ind w:firstLine="1134"/>
        <w:jc w:val="both"/>
        <w:rPr>
          <w:sz w:val="22"/>
          <w:szCs w:val="22"/>
        </w:rPr>
      </w:pPr>
      <w:r w:rsidRPr="007053BB">
        <w:rPr>
          <w:sz w:val="22"/>
          <w:szCs w:val="22"/>
        </w:rPr>
        <w:t>Quanto aos</w:t>
      </w:r>
      <w:proofErr w:type="gramStart"/>
      <w:r w:rsidR="0087330E" w:rsidRPr="007053BB">
        <w:rPr>
          <w:sz w:val="22"/>
          <w:szCs w:val="22"/>
        </w:rPr>
        <w:t xml:space="preserve"> </w:t>
      </w:r>
      <w:r w:rsidR="002B6C21">
        <w:rPr>
          <w:sz w:val="22"/>
          <w:szCs w:val="22"/>
        </w:rPr>
        <w:t xml:space="preserve"> </w:t>
      </w:r>
      <w:proofErr w:type="gramEnd"/>
      <w:r w:rsidRPr="007053BB">
        <w:rPr>
          <w:sz w:val="22"/>
          <w:szCs w:val="22"/>
        </w:rPr>
        <w:t xml:space="preserve">restos a pagar </w:t>
      </w:r>
      <w:r w:rsidR="007053BB" w:rsidRPr="007053BB">
        <w:rPr>
          <w:sz w:val="22"/>
          <w:szCs w:val="22"/>
        </w:rPr>
        <w:t xml:space="preserve"> constatamos</w:t>
      </w:r>
      <w:r w:rsidRPr="007053BB">
        <w:rPr>
          <w:sz w:val="22"/>
          <w:szCs w:val="22"/>
        </w:rPr>
        <w:t xml:space="preserve"> que somou R$ </w:t>
      </w:r>
      <w:r w:rsidR="00D61DBC">
        <w:rPr>
          <w:sz w:val="22"/>
          <w:szCs w:val="22"/>
        </w:rPr>
        <w:t>485.939,18</w:t>
      </w:r>
      <w:r w:rsidR="008A2B61" w:rsidRPr="007053BB">
        <w:rPr>
          <w:sz w:val="22"/>
          <w:szCs w:val="22"/>
        </w:rPr>
        <w:t>, conforme a demonstração</w:t>
      </w:r>
      <w:r w:rsidR="007053BB" w:rsidRPr="007053BB">
        <w:rPr>
          <w:sz w:val="22"/>
          <w:szCs w:val="22"/>
        </w:rPr>
        <w:t xml:space="preserve"> no</w:t>
      </w:r>
      <w:r w:rsidR="008A2B61" w:rsidRPr="007053BB">
        <w:rPr>
          <w:sz w:val="22"/>
          <w:szCs w:val="22"/>
        </w:rPr>
        <w:t xml:space="preserve"> Modelo </w:t>
      </w:r>
      <w:r w:rsidR="008A2B61" w:rsidRPr="00D61DBC">
        <w:rPr>
          <w:sz w:val="22"/>
          <w:szCs w:val="22"/>
        </w:rPr>
        <w:t>9-Demonstrativos dos limites-</w:t>
      </w:r>
      <w:r w:rsidR="007053BB" w:rsidRPr="00D61DBC">
        <w:rPr>
          <w:sz w:val="22"/>
          <w:szCs w:val="22"/>
        </w:rPr>
        <w:t xml:space="preserve"> </w:t>
      </w:r>
      <w:r w:rsidR="008A2B61" w:rsidRPr="00D61DBC">
        <w:rPr>
          <w:sz w:val="22"/>
          <w:szCs w:val="22"/>
        </w:rPr>
        <w:t>RGF.</w:t>
      </w:r>
      <w:r w:rsidR="007053BB" w:rsidRPr="00D61DBC">
        <w:rPr>
          <w:sz w:val="22"/>
          <w:szCs w:val="22"/>
        </w:rPr>
        <w:t xml:space="preserve">Com </w:t>
      </w:r>
      <w:r w:rsidRPr="00D61DBC">
        <w:rPr>
          <w:sz w:val="22"/>
          <w:szCs w:val="22"/>
        </w:rPr>
        <w:t xml:space="preserve">suficiência </w:t>
      </w:r>
      <w:r w:rsidR="007053BB" w:rsidRPr="00D61DBC">
        <w:rPr>
          <w:sz w:val="22"/>
          <w:szCs w:val="22"/>
        </w:rPr>
        <w:t xml:space="preserve"> financeira </w:t>
      </w:r>
      <w:r w:rsidRPr="00D61DBC">
        <w:rPr>
          <w:sz w:val="22"/>
          <w:szCs w:val="22"/>
        </w:rPr>
        <w:t xml:space="preserve"> disponibilizada em caixa,</w:t>
      </w:r>
      <w:r w:rsidR="007053BB" w:rsidRPr="00D61DBC">
        <w:rPr>
          <w:sz w:val="22"/>
          <w:szCs w:val="22"/>
        </w:rPr>
        <w:t xml:space="preserve"> </w:t>
      </w:r>
      <w:r w:rsidR="00D61DBC" w:rsidRPr="00D61DBC">
        <w:rPr>
          <w:sz w:val="22"/>
          <w:szCs w:val="22"/>
        </w:rPr>
        <w:t xml:space="preserve"> atendendo </w:t>
      </w:r>
      <w:r w:rsidRPr="00D61DBC">
        <w:rPr>
          <w:sz w:val="22"/>
          <w:szCs w:val="22"/>
        </w:rPr>
        <w:t xml:space="preserve"> assim o art. 42 da Lei 101/2000.</w:t>
      </w:r>
    </w:p>
    <w:p w:rsidR="0049035F" w:rsidRDefault="002D3915" w:rsidP="00240037">
      <w:pPr>
        <w:tabs>
          <w:tab w:val="left" w:pos="3402"/>
        </w:tabs>
        <w:spacing w:line="360" w:lineRule="auto"/>
        <w:ind w:firstLine="1134"/>
        <w:jc w:val="both"/>
        <w:rPr>
          <w:color w:val="000000"/>
          <w:sz w:val="22"/>
          <w:szCs w:val="22"/>
        </w:rPr>
      </w:pPr>
      <w:r w:rsidRPr="00D61DBC">
        <w:rPr>
          <w:sz w:val="22"/>
          <w:szCs w:val="22"/>
        </w:rPr>
        <w:t xml:space="preserve">Em relação </w:t>
      </w:r>
      <w:r w:rsidR="003E0522" w:rsidRPr="00D61DBC">
        <w:rPr>
          <w:sz w:val="22"/>
          <w:szCs w:val="22"/>
        </w:rPr>
        <w:t xml:space="preserve"> </w:t>
      </w:r>
      <w:proofErr w:type="gramStart"/>
      <w:r w:rsidR="003E0522" w:rsidRPr="00D61DBC">
        <w:rPr>
          <w:sz w:val="22"/>
          <w:szCs w:val="22"/>
        </w:rPr>
        <w:t>a</w:t>
      </w:r>
      <w:proofErr w:type="gramEnd"/>
      <w:r w:rsidR="003E0522" w:rsidRPr="00D61DBC">
        <w:rPr>
          <w:sz w:val="22"/>
          <w:szCs w:val="22"/>
        </w:rPr>
        <w:t xml:space="preserve"> folha de pagamento</w:t>
      </w:r>
      <w:r w:rsidR="002A4BB4" w:rsidRPr="00D61DBC">
        <w:rPr>
          <w:sz w:val="22"/>
          <w:szCs w:val="22"/>
        </w:rPr>
        <w:t>,</w:t>
      </w:r>
      <w:r w:rsidR="003E0522" w:rsidRPr="00D61DBC">
        <w:rPr>
          <w:sz w:val="22"/>
          <w:szCs w:val="22"/>
        </w:rPr>
        <w:t xml:space="preserve"> observamos que  o percentual </w:t>
      </w:r>
      <w:r w:rsidR="002A4BB4" w:rsidRPr="00D61DBC">
        <w:rPr>
          <w:sz w:val="22"/>
          <w:szCs w:val="22"/>
        </w:rPr>
        <w:t xml:space="preserve"> esta</w:t>
      </w:r>
      <w:r w:rsidR="00133318" w:rsidRPr="00D61DBC">
        <w:rPr>
          <w:sz w:val="22"/>
          <w:szCs w:val="22"/>
        </w:rPr>
        <w:t xml:space="preserve">  em</w:t>
      </w:r>
      <w:r w:rsidR="002A4BB4" w:rsidRPr="00D61DBC">
        <w:rPr>
          <w:sz w:val="22"/>
          <w:szCs w:val="22"/>
        </w:rPr>
        <w:t xml:space="preserve"> </w:t>
      </w:r>
      <w:r w:rsidR="007053BB" w:rsidRPr="00D61DBC">
        <w:rPr>
          <w:sz w:val="22"/>
          <w:szCs w:val="22"/>
        </w:rPr>
        <w:t xml:space="preserve"> </w:t>
      </w:r>
      <w:r w:rsidR="0049035F" w:rsidRPr="00D61DBC">
        <w:rPr>
          <w:sz w:val="22"/>
          <w:szCs w:val="22"/>
        </w:rPr>
        <w:t>48,1</w:t>
      </w:r>
      <w:r w:rsidR="00D61DBC" w:rsidRPr="00D61DBC">
        <w:rPr>
          <w:sz w:val="22"/>
          <w:szCs w:val="22"/>
        </w:rPr>
        <w:t>2</w:t>
      </w:r>
      <w:r w:rsidR="003E0522" w:rsidRPr="00D61DBC">
        <w:rPr>
          <w:sz w:val="22"/>
          <w:szCs w:val="22"/>
        </w:rPr>
        <w:t xml:space="preserve">% </w:t>
      </w:r>
      <w:r w:rsidR="002A4BB4" w:rsidRPr="00D61DBC">
        <w:rPr>
          <w:sz w:val="22"/>
          <w:szCs w:val="22"/>
        </w:rPr>
        <w:t xml:space="preserve"> sobre a </w:t>
      </w:r>
      <w:r w:rsidR="002A4BB4" w:rsidRPr="00240037">
        <w:rPr>
          <w:color w:val="000000"/>
          <w:sz w:val="22"/>
          <w:szCs w:val="22"/>
        </w:rPr>
        <w:t xml:space="preserve">Receita Corrente Liquida, </w:t>
      </w:r>
      <w:r w:rsidR="0087330E" w:rsidRPr="00240037">
        <w:rPr>
          <w:color w:val="000000"/>
          <w:sz w:val="22"/>
          <w:szCs w:val="22"/>
        </w:rPr>
        <w:t xml:space="preserve"> conforme</w:t>
      </w:r>
      <w:r w:rsidR="00240037" w:rsidRPr="00240037">
        <w:rPr>
          <w:color w:val="000000"/>
          <w:sz w:val="22"/>
          <w:szCs w:val="22"/>
        </w:rPr>
        <w:t xml:space="preserve"> M</w:t>
      </w:r>
      <w:r w:rsidR="0087330E" w:rsidRPr="00240037">
        <w:rPr>
          <w:color w:val="000000"/>
          <w:sz w:val="22"/>
          <w:szCs w:val="22"/>
        </w:rPr>
        <w:t xml:space="preserve">odelo 9 </w:t>
      </w:r>
      <w:r w:rsidR="00240037" w:rsidRPr="00240037">
        <w:rPr>
          <w:color w:val="000000"/>
          <w:sz w:val="22"/>
          <w:szCs w:val="22"/>
        </w:rPr>
        <w:t>-</w:t>
      </w:r>
      <w:r w:rsidR="0087330E" w:rsidRPr="00240037">
        <w:rPr>
          <w:color w:val="000000"/>
          <w:sz w:val="22"/>
          <w:szCs w:val="22"/>
        </w:rPr>
        <w:t xml:space="preserve">Demonstrativos dos </w:t>
      </w:r>
      <w:r w:rsidR="00D96B55">
        <w:rPr>
          <w:color w:val="000000"/>
          <w:sz w:val="22"/>
          <w:szCs w:val="22"/>
        </w:rPr>
        <w:t xml:space="preserve"> L</w:t>
      </w:r>
      <w:r w:rsidR="0087330E" w:rsidRPr="00240037">
        <w:rPr>
          <w:color w:val="000000"/>
          <w:sz w:val="22"/>
          <w:szCs w:val="22"/>
        </w:rPr>
        <w:t>imites-</w:t>
      </w:r>
      <w:r w:rsidR="007053BB">
        <w:rPr>
          <w:color w:val="000000"/>
          <w:sz w:val="22"/>
          <w:szCs w:val="22"/>
        </w:rPr>
        <w:t xml:space="preserve"> </w:t>
      </w:r>
      <w:r w:rsidR="0087330E" w:rsidRPr="00240037">
        <w:rPr>
          <w:color w:val="000000"/>
          <w:sz w:val="22"/>
          <w:szCs w:val="22"/>
        </w:rPr>
        <w:t>RGF.</w:t>
      </w:r>
      <w:r w:rsidR="00133318" w:rsidRPr="00240037">
        <w:rPr>
          <w:color w:val="000000"/>
          <w:sz w:val="22"/>
          <w:szCs w:val="22"/>
        </w:rPr>
        <w:t xml:space="preserve"> </w:t>
      </w:r>
      <w:r w:rsidR="0087330E" w:rsidRPr="00240037">
        <w:rPr>
          <w:color w:val="000000"/>
          <w:sz w:val="22"/>
          <w:szCs w:val="22"/>
        </w:rPr>
        <w:t xml:space="preserve"> </w:t>
      </w:r>
    </w:p>
    <w:p w:rsidR="00F924FF" w:rsidRPr="00240037" w:rsidRDefault="00F924FF" w:rsidP="00240037">
      <w:pPr>
        <w:tabs>
          <w:tab w:val="left" w:pos="3402"/>
        </w:tabs>
        <w:spacing w:line="360" w:lineRule="auto"/>
        <w:ind w:firstLine="1134"/>
        <w:jc w:val="both"/>
        <w:rPr>
          <w:color w:val="000000"/>
          <w:sz w:val="22"/>
          <w:szCs w:val="22"/>
        </w:rPr>
      </w:pPr>
      <w:r w:rsidRPr="00240037">
        <w:rPr>
          <w:color w:val="000000"/>
          <w:sz w:val="22"/>
          <w:szCs w:val="22"/>
        </w:rPr>
        <w:t>Em relação à aplicação de recursos públicos por entidades de direito privado, anota-se que o Município concedeu subvenções sociais, mediante convênio a diversas entidades, visando a diferentes objetivos, os quais foram alcançados em sua totalidade, observando-se que houve a devida prestação de contas dos recursos repassados.</w:t>
      </w:r>
    </w:p>
    <w:p w:rsidR="009B3A7A" w:rsidRPr="007D6BA7" w:rsidRDefault="00F924FF" w:rsidP="002A4BB4">
      <w:pPr>
        <w:pStyle w:val="Recuodecorpodetexto2"/>
        <w:spacing w:before="0"/>
        <w:ind w:firstLine="1134"/>
        <w:rPr>
          <w:szCs w:val="22"/>
        </w:rPr>
      </w:pPr>
      <w:r w:rsidRPr="007D6BA7">
        <w:rPr>
          <w:szCs w:val="22"/>
        </w:rPr>
        <w:t xml:space="preserve">Em relação </w:t>
      </w:r>
      <w:proofErr w:type="gramStart"/>
      <w:r w:rsidR="005D7873" w:rsidRPr="007D6BA7">
        <w:rPr>
          <w:szCs w:val="22"/>
        </w:rPr>
        <w:t>a</w:t>
      </w:r>
      <w:r w:rsidRPr="007D6BA7">
        <w:rPr>
          <w:szCs w:val="22"/>
        </w:rPr>
        <w:t>s</w:t>
      </w:r>
      <w:proofErr w:type="gramEnd"/>
      <w:r w:rsidRPr="007D6BA7">
        <w:rPr>
          <w:szCs w:val="22"/>
        </w:rPr>
        <w:t xml:space="preserve"> aplicações do RPPS, observamos que está sendo feito regularmente aplicações nos Bancos do Estado – Banrisul, Caixa Econômica Federal e </w:t>
      </w:r>
      <w:r w:rsidR="0013505F" w:rsidRPr="007D6BA7">
        <w:rPr>
          <w:szCs w:val="22"/>
        </w:rPr>
        <w:t xml:space="preserve"> </w:t>
      </w:r>
      <w:r w:rsidRPr="007D6BA7">
        <w:rPr>
          <w:szCs w:val="22"/>
        </w:rPr>
        <w:t>Banco do Brasil</w:t>
      </w:r>
      <w:r w:rsidR="00CE14CE" w:rsidRPr="007D6BA7">
        <w:rPr>
          <w:szCs w:val="22"/>
        </w:rPr>
        <w:t xml:space="preserve"> S.A</w:t>
      </w:r>
      <w:r w:rsidRPr="007D6BA7">
        <w:rPr>
          <w:szCs w:val="22"/>
        </w:rPr>
        <w:t>.</w:t>
      </w:r>
    </w:p>
    <w:p w:rsidR="00B170D9" w:rsidRPr="007D6BA7" w:rsidRDefault="00F924FF" w:rsidP="002A4BB4">
      <w:pPr>
        <w:pStyle w:val="Recuodecorpodetexto2"/>
        <w:spacing w:before="0"/>
        <w:ind w:firstLine="1134"/>
        <w:rPr>
          <w:szCs w:val="22"/>
        </w:rPr>
      </w:pPr>
      <w:r w:rsidRPr="007D6BA7">
        <w:rPr>
          <w:szCs w:val="22"/>
        </w:rPr>
        <w:t xml:space="preserve">Quanto </w:t>
      </w:r>
      <w:r w:rsidR="005D7873" w:rsidRPr="007D6BA7">
        <w:rPr>
          <w:szCs w:val="22"/>
        </w:rPr>
        <w:t>a</w:t>
      </w:r>
      <w:r w:rsidRPr="007D6BA7">
        <w:rPr>
          <w:szCs w:val="22"/>
        </w:rPr>
        <w:t xml:space="preserve">s publicações dos Relatórios Resumidos da Execução Orçamentária (RREO) e Relatórios da Gestão fiscal (RGF), foram publicados no mural da Prefeitura os bimestrais e os semestrais, e ainda também foram publicado nos jornais de maior circulação no município </w:t>
      </w:r>
      <w:proofErr w:type="gramStart"/>
      <w:r w:rsidRPr="007D6BA7">
        <w:rPr>
          <w:szCs w:val="22"/>
        </w:rPr>
        <w:t xml:space="preserve">( </w:t>
      </w:r>
      <w:proofErr w:type="gramEnd"/>
      <w:r w:rsidRPr="007D6BA7">
        <w:rPr>
          <w:szCs w:val="22"/>
        </w:rPr>
        <w:t xml:space="preserve">Gazeta do Povo e </w:t>
      </w:r>
      <w:r w:rsidR="00CA4027" w:rsidRPr="007D6BA7">
        <w:rPr>
          <w:szCs w:val="22"/>
        </w:rPr>
        <w:t>Gazeta Integração )</w:t>
      </w:r>
      <w:r w:rsidRPr="007D6BA7">
        <w:rPr>
          <w:szCs w:val="22"/>
        </w:rPr>
        <w:t xml:space="preserve"> no Site</w:t>
      </w:r>
      <w:r w:rsidR="000A7DBF" w:rsidRPr="007D6BA7">
        <w:rPr>
          <w:szCs w:val="22"/>
        </w:rPr>
        <w:t xml:space="preserve">: </w:t>
      </w:r>
      <w:r w:rsidR="000A6704" w:rsidRPr="007D6BA7">
        <w:rPr>
          <w:szCs w:val="22"/>
        </w:rPr>
        <w:t xml:space="preserve"> </w:t>
      </w:r>
      <w:r w:rsidR="0087330E">
        <w:rPr>
          <w:szCs w:val="22"/>
        </w:rPr>
        <w:t xml:space="preserve"> www.portoxavier.rs.gov.br</w:t>
      </w:r>
      <w:r w:rsidR="0049035F">
        <w:rPr>
          <w:szCs w:val="22"/>
        </w:rPr>
        <w:t>/</w:t>
      </w:r>
      <w:r w:rsidR="00241B7D" w:rsidRPr="007D6BA7">
        <w:rPr>
          <w:szCs w:val="22"/>
        </w:rPr>
        <w:t xml:space="preserve">contas publicas. </w:t>
      </w:r>
    </w:p>
    <w:p w:rsidR="00083451" w:rsidRDefault="00083451" w:rsidP="00CD33A6">
      <w:pPr>
        <w:pStyle w:val="Recuodecorpodetexto2"/>
        <w:spacing w:before="0"/>
        <w:rPr>
          <w:szCs w:val="22"/>
        </w:rPr>
      </w:pPr>
    </w:p>
    <w:p w:rsidR="00083451" w:rsidRDefault="009B3A7A" w:rsidP="00083451">
      <w:pPr>
        <w:pStyle w:val="Recuodecorpodetexto2"/>
        <w:spacing w:before="0"/>
        <w:rPr>
          <w:szCs w:val="22"/>
        </w:rPr>
      </w:pPr>
      <w:r w:rsidRPr="007D6BA7">
        <w:rPr>
          <w:szCs w:val="22"/>
        </w:rPr>
        <w:t>È</w:t>
      </w:r>
      <w:r w:rsidR="00F924FF" w:rsidRPr="007D6BA7">
        <w:rPr>
          <w:szCs w:val="22"/>
        </w:rPr>
        <w:t xml:space="preserve"> o relatório e parecer.</w:t>
      </w:r>
    </w:p>
    <w:p w:rsidR="00083451" w:rsidRDefault="00083451" w:rsidP="00083451">
      <w:pPr>
        <w:pStyle w:val="Recuodecorpodetexto2"/>
        <w:spacing w:before="0"/>
        <w:rPr>
          <w:szCs w:val="22"/>
        </w:rPr>
      </w:pPr>
    </w:p>
    <w:p w:rsidR="00240037" w:rsidRDefault="00F924FF" w:rsidP="00083451">
      <w:pPr>
        <w:pStyle w:val="Recuodecorpodetexto2"/>
        <w:spacing w:before="0"/>
        <w:rPr>
          <w:szCs w:val="22"/>
        </w:rPr>
      </w:pPr>
      <w:r w:rsidRPr="007D6BA7">
        <w:rPr>
          <w:szCs w:val="22"/>
        </w:rPr>
        <w:t xml:space="preserve">Porto Xavier, </w:t>
      </w:r>
      <w:r w:rsidR="0049035F">
        <w:rPr>
          <w:szCs w:val="22"/>
        </w:rPr>
        <w:t>2</w:t>
      </w:r>
      <w:r w:rsidR="00546814">
        <w:rPr>
          <w:szCs w:val="22"/>
        </w:rPr>
        <w:t>7</w:t>
      </w:r>
      <w:bookmarkStart w:id="0" w:name="_GoBack"/>
      <w:bookmarkEnd w:id="0"/>
      <w:proofErr w:type="gramStart"/>
      <w:r w:rsidR="0049035F">
        <w:rPr>
          <w:szCs w:val="22"/>
        </w:rPr>
        <w:t xml:space="preserve"> </w:t>
      </w:r>
      <w:r w:rsidRPr="007D6BA7">
        <w:rPr>
          <w:szCs w:val="22"/>
        </w:rPr>
        <w:t xml:space="preserve"> </w:t>
      </w:r>
      <w:proofErr w:type="gramEnd"/>
      <w:r w:rsidRPr="007D6BA7">
        <w:rPr>
          <w:szCs w:val="22"/>
        </w:rPr>
        <w:t xml:space="preserve">de </w:t>
      </w:r>
      <w:r w:rsidR="0049035F">
        <w:rPr>
          <w:szCs w:val="22"/>
        </w:rPr>
        <w:t>janeiro</w:t>
      </w:r>
      <w:r w:rsidRPr="007D6BA7">
        <w:rPr>
          <w:szCs w:val="22"/>
        </w:rPr>
        <w:t xml:space="preserve"> de 20</w:t>
      </w:r>
      <w:r w:rsidR="00E54E2E" w:rsidRPr="007D6BA7">
        <w:rPr>
          <w:szCs w:val="22"/>
        </w:rPr>
        <w:t>1</w:t>
      </w:r>
      <w:r w:rsidR="0049035F">
        <w:rPr>
          <w:szCs w:val="22"/>
        </w:rPr>
        <w:t>6</w:t>
      </w:r>
      <w:r w:rsidR="00E54E2E" w:rsidRPr="007D6BA7">
        <w:rPr>
          <w:szCs w:val="22"/>
        </w:rPr>
        <w:t>.</w:t>
      </w:r>
      <w:r w:rsidRPr="007D6BA7">
        <w:rPr>
          <w:szCs w:val="22"/>
        </w:rPr>
        <w:t xml:space="preserve">           </w:t>
      </w:r>
    </w:p>
    <w:p w:rsidR="00083451" w:rsidRPr="007D6BA7" w:rsidRDefault="00083451" w:rsidP="00083451">
      <w:pPr>
        <w:pStyle w:val="Recuodecorpodetexto2"/>
        <w:spacing w:before="0"/>
        <w:rPr>
          <w:szCs w:val="22"/>
        </w:rPr>
      </w:pPr>
    </w:p>
    <w:tbl>
      <w:tblPr>
        <w:tblW w:w="95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7"/>
        <w:gridCol w:w="146"/>
        <w:gridCol w:w="160"/>
      </w:tblGrid>
      <w:tr w:rsidR="00E8578A" w:rsidRPr="007D6BA7" w:rsidTr="00083451">
        <w:tc>
          <w:tcPr>
            <w:tcW w:w="9217" w:type="dxa"/>
          </w:tcPr>
          <w:tbl>
            <w:tblPr>
              <w:tblStyle w:val="Tabelacomgrade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8"/>
              <w:gridCol w:w="4819"/>
            </w:tblGrid>
            <w:tr w:rsidR="00A266F8" w:rsidTr="00083451">
              <w:tc>
                <w:tcPr>
                  <w:tcW w:w="4248" w:type="dxa"/>
                </w:tcPr>
                <w:p w:rsidR="00A266F8" w:rsidRDefault="00A266F8" w:rsidP="00A266F8">
                  <w:pPr>
                    <w:tabs>
                      <w:tab w:val="left" w:pos="4253"/>
                    </w:tabs>
                    <w:spacing w:line="360" w:lineRule="auto"/>
                    <w:rPr>
                      <w:sz w:val="22"/>
                      <w:szCs w:val="22"/>
                      <w:lang w:val="es-ES_tradnl"/>
                    </w:rPr>
                  </w:pPr>
                  <w:r>
                    <w:rPr>
                      <w:sz w:val="22"/>
                      <w:szCs w:val="22"/>
                      <w:lang w:val="es-ES_tradnl"/>
                    </w:rPr>
                    <w:t xml:space="preserve">Tania  </w:t>
                  </w:r>
                  <w:proofErr w:type="spellStart"/>
                  <w:r>
                    <w:rPr>
                      <w:sz w:val="22"/>
                      <w:szCs w:val="22"/>
                      <w:lang w:val="es-ES_tradnl"/>
                    </w:rPr>
                    <w:t>Roselí</w:t>
                  </w:r>
                  <w:proofErr w:type="spellEnd"/>
                  <w:r>
                    <w:rPr>
                      <w:sz w:val="22"/>
                      <w:szCs w:val="22"/>
                      <w:lang w:val="es-ES_tradnl"/>
                    </w:rPr>
                    <w:t xml:space="preserve"> Cardoso Schmidt</w:t>
                  </w:r>
                </w:p>
              </w:tc>
              <w:tc>
                <w:tcPr>
                  <w:tcW w:w="4819" w:type="dxa"/>
                </w:tcPr>
                <w:p w:rsidR="00A266F8" w:rsidRDefault="00A266F8" w:rsidP="00A266F8">
                  <w:pPr>
                    <w:tabs>
                      <w:tab w:val="left" w:pos="4253"/>
                    </w:tabs>
                    <w:spacing w:line="360" w:lineRule="auto"/>
                    <w:rPr>
                      <w:sz w:val="22"/>
                      <w:szCs w:val="22"/>
                      <w:lang w:val="es-ES_tradnl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s-ES_tradnl"/>
                    </w:rPr>
                    <w:t>Maiquel</w:t>
                  </w:r>
                  <w:proofErr w:type="spellEnd"/>
                  <w:r>
                    <w:rPr>
                      <w:sz w:val="22"/>
                      <w:szCs w:val="22"/>
                      <w:lang w:val="es-ES_tradnl"/>
                    </w:rPr>
                    <w:t xml:space="preserve"> Josef </w:t>
                  </w:r>
                  <w:r w:rsidR="00F4094C">
                    <w:rPr>
                      <w:sz w:val="22"/>
                      <w:szCs w:val="22"/>
                      <w:lang w:val="es-ES_tradnl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s-ES_tradnl"/>
                    </w:rPr>
                    <w:t>Schulz</w:t>
                  </w:r>
                  <w:proofErr w:type="spellEnd"/>
                </w:p>
              </w:tc>
            </w:tr>
            <w:tr w:rsidR="00A266F8" w:rsidTr="00083451">
              <w:tc>
                <w:tcPr>
                  <w:tcW w:w="4248" w:type="dxa"/>
                </w:tcPr>
                <w:p w:rsidR="00A266F8" w:rsidRDefault="00A266F8" w:rsidP="00A266F8">
                  <w:pPr>
                    <w:tabs>
                      <w:tab w:val="left" w:pos="4253"/>
                    </w:tabs>
                    <w:spacing w:line="360" w:lineRule="auto"/>
                    <w:rPr>
                      <w:sz w:val="22"/>
                      <w:szCs w:val="22"/>
                      <w:lang w:val="es-ES_tradnl"/>
                    </w:rPr>
                  </w:pPr>
                  <w:r>
                    <w:rPr>
                      <w:sz w:val="22"/>
                      <w:szCs w:val="22"/>
                      <w:lang w:val="es-ES_tradnl"/>
                    </w:rPr>
                    <w:t>Presidente do Controle Interno</w:t>
                  </w:r>
                </w:p>
              </w:tc>
              <w:tc>
                <w:tcPr>
                  <w:tcW w:w="4819" w:type="dxa"/>
                </w:tcPr>
                <w:p w:rsidR="00A266F8" w:rsidRDefault="00A266F8" w:rsidP="00A266F8">
                  <w:pPr>
                    <w:tabs>
                      <w:tab w:val="left" w:pos="4253"/>
                    </w:tabs>
                    <w:spacing w:line="360" w:lineRule="auto"/>
                    <w:rPr>
                      <w:sz w:val="22"/>
                      <w:szCs w:val="22"/>
                      <w:lang w:val="es-ES_tradnl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s-ES_tradnl"/>
                    </w:rPr>
                    <w:t>Membro</w:t>
                  </w:r>
                  <w:proofErr w:type="spellEnd"/>
                  <w:r>
                    <w:rPr>
                      <w:sz w:val="22"/>
                      <w:szCs w:val="22"/>
                      <w:lang w:val="es-ES_tradnl"/>
                    </w:rPr>
                    <w:t xml:space="preserve"> do Controle Interno</w:t>
                  </w:r>
                </w:p>
                <w:p w:rsidR="00F4094C" w:rsidRDefault="00F4094C" w:rsidP="00A266F8">
                  <w:pPr>
                    <w:tabs>
                      <w:tab w:val="left" w:pos="4253"/>
                    </w:tabs>
                    <w:spacing w:line="360" w:lineRule="auto"/>
                    <w:rPr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:rsidR="00E8578A" w:rsidRPr="007D6BA7" w:rsidRDefault="00E8578A" w:rsidP="0049035F">
            <w:pPr>
              <w:pBdr>
                <w:between w:val="single" w:sz="4" w:space="1" w:color="auto"/>
              </w:pBdr>
              <w:tabs>
                <w:tab w:val="left" w:pos="4253"/>
              </w:tabs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46" w:type="dxa"/>
          </w:tcPr>
          <w:p w:rsidR="00E8578A" w:rsidRPr="007D6BA7" w:rsidRDefault="00E8578A" w:rsidP="0049035F">
            <w:pPr>
              <w:pBdr>
                <w:between w:val="single" w:sz="4" w:space="1" w:color="auto"/>
              </w:pBdr>
              <w:tabs>
                <w:tab w:val="left" w:pos="4253"/>
              </w:tabs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160" w:type="dxa"/>
          </w:tcPr>
          <w:p w:rsidR="00E8578A" w:rsidRPr="007D6BA7" w:rsidRDefault="00E8578A" w:rsidP="0049035F">
            <w:pPr>
              <w:pBdr>
                <w:between w:val="single" w:sz="4" w:space="1" w:color="auto"/>
              </w:pBdr>
              <w:tabs>
                <w:tab w:val="left" w:pos="4253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8578A" w:rsidRPr="007D6BA7" w:rsidTr="00083451">
        <w:tc>
          <w:tcPr>
            <w:tcW w:w="9217" w:type="dxa"/>
          </w:tcPr>
          <w:p w:rsidR="00E8578A" w:rsidRPr="007D6BA7" w:rsidRDefault="00E8578A" w:rsidP="0049035F">
            <w:pPr>
              <w:pBdr>
                <w:between w:val="single" w:sz="4" w:space="1" w:color="auto"/>
              </w:pBdr>
              <w:tabs>
                <w:tab w:val="left" w:pos="4253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dxa"/>
          </w:tcPr>
          <w:p w:rsidR="00E8578A" w:rsidRPr="007D6BA7" w:rsidRDefault="00E8578A" w:rsidP="0049035F">
            <w:pPr>
              <w:pBdr>
                <w:between w:val="single" w:sz="4" w:space="1" w:color="auto"/>
              </w:pBdr>
              <w:tabs>
                <w:tab w:val="left" w:pos="4253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" w:type="dxa"/>
          </w:tcPr>
          <w:p w:rsidR="00E8578A" w:rsidRPr="007D6BA7" w:rsidRDefault="00E8578A" w:rsidP="0049035F">
            <w:pPr>
              <w:pBdr>
                <w:between w:val="single" w:sz="4" w:space="1" w:color="auto"/>
              </w:pBdr>
              <w:tabs>
                <w:tab w:val="left" w:pos="4253"/>
              </w:tabs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520D50" w:rsidRPr="007D6BA7" w:rsidRDefault="00520D50" w:rsidP="0049035F">
      <w:pPr>
        <w:pBdr>
          <w:between w:val="single" w:sz="4" w:space="1" w:color="auto"/>
        </w:pBdr>
        <w:tabs>
          <w:tab w:val="left" w:pos="4253"/>
        </w:tabs>
        <w:spacing w:before="120" w:line="360" w:lineRule="auto"/>
        <w:jc w:val="both"/>
        <w:rPr>
          <w:sz w:val="22"/>
          <w:szCs w:val="22"/>
        </w:rPr>
      </w:pPr>
    </w:p>
    <w:sectPr w:rsidR="00520D50" w:rsidRPr="007D6BA7" w:rsidSect="00083451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851" w:right="851" w:bottom="851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219" w:rsidRDefault="008A7219">
      <w:r>
        <w:separator/>
      </w:r>
    </w:p>
  </w:endnote>
  <w:endnote w:type="continuationSeparator" w:id="0">
    <w:p w:rsidR="008A7219" w:rsidRDefault="008A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C" w:rsidRDefault="00020F6C">
    <w:pPr>
      <w:pStyle w:val="Rodap"/>
      <w:framePr w:wrap="around" w:vAnchor="text" w:hAnchor="margin" w:xAlign="right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>
      <w:rPr>
        <w:rStyle w:val="Nmerodepgina"/>
        <w:noProof/>
        <w:sz w:val="19"/>
        <w:szCs w:val="19"/>
      </w:rPr>
      <w:t>8</w:t>
    </w:r>
    <w:r>
      <w:rPr>
        <w:rStyle w:val="Nmerodepgina"/>
        <w:sz w:val="19"/>
        <w:szCs w:val="19"/>
      </w:rPr>
      <w:fldChar w:fldCharType="end"/>
    </w:r>
  </w:p>
  <w:p w:rsidR="00020F6C" w:rsidRDefault="00020F6C">
    <w:pPr>
      <w:pStyle w:val="Rodap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C" w:rsidRDefault="00020F6C">
    <w:pPr>
      <w:pStyle w:val="Rodap"/>
      <w:framePr w:wrap="around" w:vAnchor="text" w:hAnchor="margin" w:xAlign="right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 w:rsidR="00546814">
      <w:rPr>
        <w:rStyle w:val="Nmerodepgina"/>
        <w:noProof/>
        <w:sz w:val="19"/>
        <w:szCs w:val="19"/>
      </w:rPr>
      <w:t>10</w:t>
    </w:r>
    <w:r>
      <w:rPr>
        <w:rStyle w:val="Nmerodepgina"/>
        <w:sz w:val="19"/>
        <w:szCs w:val="19"/>
      </w:rPr>
      <w:fldChar w:fldCharType="end"/>
    </w:r>
  </w:p>
  <w:p w:rsidR="00020F6C" w:rsidRDefault="00020F6C">
    <w:pPr>
      <w:pStyle w:val="Rodap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C" w:rsidRDefault="00020F6C">
    <w:pPr>
      <w:pStyle w:val="Rodap"/>
      <w:rPr>
        <w:sz w:val="19"/>
        <w:szCs w:val="19"/>
      </w:rPr>
    </w:pPr>
    <w:r>
      <w:rPr>
        <w:sz w:val="10"/>
        <w:szCs w:val="10"/>
      </w:rPr>
      <w:fldChar w:fldCharType="begin"/>
    </w:r>
    <w:r>
      <w:rPr>
        <w:sz w:val="10"/>
        <w:szCs w:val="10"/>
      </w:rPr>
      <w:instrText xml:space="preserve"> FILENAME \p \* LOWER </w:instrText>
    </w:r>
    <w:r>
      <w:rPr>
        <w:sz w:val="10"/>
        <w:szCs w:val="10"/>
      </w:rPr>
      <w:fldChar w:fldCharType="separate"/>
    </w:r>
    <w:r w:rsidR="00546814">
      <w:rPr>
        <w:noProof/>
        <w:sz w:val="10"/>
        <w:szCs w:val="10"/>
      </w:rPr>
      <w:t>c:\users\usuario\documents\rel. e parecer c interno - geral-2016.docx</w:t>
    </w:r>
    <w:r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219" w:rsidRDefault="008A7219">
      <w:r>
        <w:separator/>
      </w:r>
    </w:p>
  </w:footnote>
  <w:footnote w:type="continuationSeparator" w:id="0">
    <w:p w:rsidR="008A7219" w:rsidRDefault="008A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6C" w:rsidRDefault="00020F6C" w:rsidP="007E7227">
    <w:pPr>
      <w:framePr w:hSpace="141" w:wrap="auto" w:vAnchor="text" w:hAnchor="page" w:x="1335" w:y="154"/>
      <w:rPr>
        <w:rFonts w:ascii="Book Antiqua" w:hAnsi="Book Antiqua"/>
        <w:sz w:val="24"/>
      </w:rPr>
    </w:pPr>
    <w:r>
      <w:rPr>
        <w:rFonts w:ascii="Book Antiqua" w:hAnsi="Book Antiqua"/>
        <w:noProof/>
      </w:rPr>
      <w:drawing>
        <wp:inline distT="0" distB="0" distL="0" distR="0" wp14:anchorId="604B3B8A" wp14:editId="4138147E">
          <wp:extent cx="581025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F6C" w:rsidRDefault="00020F6C">
    <w:pPr>
      <w:pStyle w:val="Cabealho"/>
    </w:pPr>
  </w:p>
  <w:p w:rsidR="00020F6C" w:rsidRDefault="00020F6C" w:rsidP="007E7227">
    <w:pPr>
      <w:framePr w:h="968" w:hRule="exact" w:hSpace="141" w:wrap="auto" w:vAnchor="text" w:hAnchor="page" w:x="2235" w:y="108"/>
      <w:rPr>
        <w:rFonts w:ascii="Book Antiqua" w:hAnsi="Book Antiqua"/>
        <w:b/>
        <w:sz w:val="22"/>
      </w:rPr>
    </w:pPr>
    <w:r>
      <w:rPr>
        <w:rFonts w:ascii="Book Antiqua" w:hAnsi="Book Antiqua"/>
        <w:b/>
        <w:sz w:val="22"/>
      </w:rPr>
      <w:t xml:space="preserve">      ESTADO DO RIO GRANDE DO SUL</w:t>
    </w:r>
  </w:p>
  <w:p w:rsidR="00020F6C" w:rsidRDefault="00020F6C" w:rsidP="007E7227">
    <w:pPr>
      <w:framePr w:h="968" w:hRule="exact" w:hSpace="141" w:wrap="auto" w:vAnchor="text" w:hAnchor="page" w:x="2235" w:y="108"/>
      <w:rPr>
        <w:rFonts w:ascii="Book Antiqua" w:hAnsi="Book Antiqua"/>
        <w:b/>
        <w:sz w:val="22"/>
      </w:rPr>
    </w:pPr>
    <w:r>
      <w:rPr>
        <w:rFonts w:ascii="Book Antiqua" w:hAnsi="Book Antiqua"/>
        <w:b/>
        <w:sz w:val="22"/>
      </w:rPr>
      <w:t xml:space="preserve">      PREFEITURA MUNICIPAL DE</w:t>
    </w:r>
    <w:proofErr w:type="gramStart"/>
    <w:r>
      <w:rPr>
        <w:rFonts w:ascii="Book Antiqua" w:hAnsi="Book Antiqua"/>
        <w:b/>
        <w:sz w:val="22"/>
      </w:rPr>
      <w:t xml:space="preserve">  </w:t>
    </w:r>
    <w:proofErr w:type="gramEnd"/>
    <w:r>
      <w:rPr>
        <w:rFonts w:ascii="Book Antiqua" w:hAnsi="Book Antiqua"/>
        <w:b/>
        <w:sz w:val="22"/>
      </w:rPr>
      <w:t>PORTO XAVIER</w:t>
    </w:r>
  </w:p>
  <w:p w:rsidR="00020F6C" w:rsidRDefault="00020F6C" w:rsidP="007E7227">
    <w:pPr>
      <w:framePr w:h="968" w:hRule="exact" w:hSpace="141" w:wrap="auto" w:vAnchor="text" w:hAnchor="page" w:x="2235" w:y="108"/>
      <w:rPr>
        <w:rFonts w:ascii="Book Antiqua" w:hAnsi="Book Antiqua"/>
        <w:b/>
        <w:sz w:val="22"/>
      </w:rPr>
    </w:pPr>
    <w:r>
      <w:rPr>
        <w:rFonts w:ascii="Book Antiqua" w:hAnsi="Book Antiqua"/>
        <w:b/>
        <w:sz w:val="22"/>
      </w:rPr>
      <w:t xml:space="preserve">      CENTRAL DE SISTEMA DE CONTROLE INTERNO</w:t>
    </w:r>
  </w:p>
  <w:p w:rsidR="00020F6C" w:rsidRDefault="00020F6C">
    <w:pPr>
      <w:pStyle w:val="Cabealho"/>
    </w:pPr>
  </w:p>
  <w:p w:rsidR="00020F6C" w:rsidRDefault="00020F6C">
    <w:pPr>
      <w:pStyle w:val="Cabealho"/>
    </w:pPr>
  </w:p>
  <w:p w:rsidR="00020F6C" w:rsidRDefault="00020F6C">
    <w:pPr>
      <w:pStyle w:val="Cabealho"/>
    </w:pPr>
  </w:p>
  <w:p w:rsidR="00020F6C" w:rsidRDefault="00020F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352"/>
    <w:multiLevelType w:val="hybridMultilevel"/>
    <w:tmpl w:val="B1D26046"/>
    <w:lvl w:ilvl="0" w:tplc="C9D80B6C">
      <w:start w:val="1"/>
      <w:numFmt w:val="decimal"/>
      <w:lvlText w:val="%1."/>
      <w:lvlJc w:val="left"/>
      <w:pPr>
        <w:tabs>
          <w:tab w:val="num" w:pos="4620"/>
        </w:tabs>
        <w:ind w:left="46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340"/>
        </w:tabs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80"/>
        </w:tabs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500"/>
        </w:tabs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220"/>
        </w:tabs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940"/>
        </w:tabs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60"/>
        </w:tabs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80"/>
        </w:tabs>
        <w:ind w:left="10380" w:hanging="180"/>
      </w:pPr>
    </w:lvl>
  </w:abstractNum>
  <w:abstractNum w:abstractNumId="1">
    <w:nsid w:val="0FAE4A95"/>
    <w:multiLevelType w:val="singleLevel"/>
    <w:tmpl w:val="D8A82CAC"/>
    <w:lvl w:ilvl="0">
      <w:start w:val="1"/>
      <w:numFmt w:val="lowerLetter"/>
      <w:lvlText w:val="%1)"/>
      <w:lvlJc w:val="left"/>
      <w:pPr>
        <w:tabs>
          <w:tab w:val="num" w:pos="4620"/>
        </w:tabs>
        <w:ind w:left="4620" w:hanging="360"/>
      </w:pPr>
      <w:rPr>
        <w:rFonts w:hint="default"/>
        <w:b/>
      </w:rPr>
    </w:lvl>
  </w:abstractNum>
  <w:abstractNum w:abstractNumId="2">
    <w:nsid w:val="31165156"/>
    <w:multiLevelType w:val="hybridMultilevel"/>
    <w:tmpl w:val="C95441C8"/>
    <w:lvl w:ilvl="0" w:tplc="F2FE85F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081DA0"/>
    <w:multiLevelType w:val="singleLevel"/>
    <w:tmpl w:val="55A887F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A4"/>
    <w:rsid w:val="0000269F"/>
    <w:rsid w:val="0001210E"/>
    <w:rsid w:val="000121E3"/>
    <w:rsid w:val="0001549C"/>
    <w:rsid w:val="00017CF1"/>
    <w:rsid w:val="00020F6C"/>
    <w:rsid w:val="00021222"/>
    <w:rsid w:val="0002427F"/>
    <w:rsid w:val="00026257"/>
    <w:rsid w:val="000329CB"/>
    <w:rsid w:val="000423B9"/>
    <w:rsid w:val="000434E5"/>
    <w:rsid w:val="0004396C"/>
    <w:rsid w:val="00051F19"/>
    <w:rsid w:val="00052BDC"/>
    <w:rsid w:val="00055624"/>
    <w:rsid w:val="00055F31"/>
    <w:rsid w:val="00065052"/>
    <w:rsid w:val="00083451"/>
    <w:rsid w:val="00095E0A"/>
    <w:rsid w:val="000A6704"/>
    <w:rsid w:val="000A7DBF"/>
    <w:rsid w:val="000B2663"/>
    <w:rsid w:val="000C71E4"/>
    <w:rsid w:val="000D391D"/>
    <w:rsid w:val="000F0ECA"/>
    <w:rsid w:val="001003F9"/>
    <w:rsid w:val="0010291E"/>
    <w:rsid w:val="001146BD"/>
    <w:rsid w:val="00117EF2"/>
    <w:rsid w:val="00120213"/>
    <w:rsid w:val="00130300"/>
    <w:rsid w:val="0013113E"/>
    <w:rsid w:val="00133318"/>
    <w:rsid w:val="0013505F"/>
    <w:rsid w:val="001404D9"/>
    <w:rsid w:val="001438FA"/>
    <w:rsid w:val="00150C0C"/>
    <w:rsid w:val="00155488"/>
    <w:rsid w:val="00162811"/>
    <w:rsid w:val="001A5E9C"/>
    <w:rsid w:val="001B15C3"/>
    <w:rsid w:val="001B1F11"/>
    <w:rsid w:val="001C7A41"/>
    <w:rsid w:val="001D1986"/>
    <w:rsid w:val="001D43AB"/>
    <w:rsid w:val="001D7246"/>
    <w:rsid w:val="001F3565"/>
    <w:rsid w:val="001F4B53"/>
    <w:rsid w:val="00201617"/>
    <w:rsid w:val="00213B59"/>
    <w:rsid w:val="002234B2"/>
    <w:rsid w:val="00227608"/>
    <w:rsid w:val="00240037"/>
    <w:rsid w:val="00241B7D"/>
    <w:rsid w:val="00242B8C"/>
    <w:rsid w:val="00243285"/>
    <w:rsid w:val="002505B1"/>
    <w:rsid w:val="00253B1D"/>
    <w:rsid w:val="00253C07"/>
    <w:rsid w:val="0025491B"/>
    <w:rsid w:val="00260465"/>
    <w:rsid w:val="0026111C"/>
    <w:rsid w:val="00287C95"/>
    <w:rsid w:val="002904D5"/>
    <w:rsid w:val="00290533"/>
    <w:rsid w:val="00291259"/>
    <w:rsid w:val="002916B6"/>
    <w:rsid w:val="002928E8"/>
    <w:rsid w:val="00297668"/>
    <w:rsid w:val="002A4BB4"/>
    <w:rsid w:val="002B6C21"/>
    <w:rsid w:val="002C35C6"/>
    <w:rsid w:val="002D0EA4"/>
    <w:rsid w:val="002D1C10"/>
    <w:rsid w:val="002D3915"/>
    <w:rsid w:val="002D4AE4"/>
    <w:rsid w:val="002F4E40"/>
    <w:rsid w:val="002F4F40"/>
    <w:rsid w:val="00310FC5"/>
    <w:rsid w:val="00311CDD"/>
    <w:rsid w:val="003139AF"/>
    <w:rsid w:val="003140D1"/>
    <w:rsid w:val="00321666"/>
    <w:rsid w:val="00324D16"/>
    <w:rsid w:val="00343725"/>
    <w:rsid w:val="003464DF"/>
    <w:rsid w:val="00350602"/>
    <w:rsid w:val="00353705"/>
    <w:rsid w:val="00362583"/>
    <w:rsid w:val="00363F5F"/>
    <w:rsid w:val="00364702"/>
    <w:rsid w:val="003758BC"/>
    <w:rsid w:val="00376D21"/>
    <w:rsid w:val="003770E6"/>
    <w:rsid w:val="003942BF"/>
    <w:rsid w:val="00394FB4"/>
    <w:rsid w:val="003973EE"/>
    <w:rsid w:val="003B12B5"/>
    <w:rsid w:val="003B2BC0"/>
    <w:rsid w:val="003B3992"/>
    <w:rsid w:val="003B5D3B"/>
    <w:rsid w:val="003E0522"/>
    <w:rsid w:val="003E28B1"/>
    <w:rsid w:val="00400D7B"/>
    <w:rsid w:val="00403705"/>
    <w:rsid w:val="00406048"/>
    <w:rsid w:val="004114CD"/>
    <w:rsid w:val="004202CA"/>
    <w:rsid w:val="00422465"/>
    <w:rsid w:val="00430DBB"/>
    <w:rsid w:val="00437866"/>
    <w:rsid w:val="0044128E"/>
    <w:rsid w:val="00444461"/>
    <w:rsid w:val="00447B36"/>
    <w:rsid w:val="00451CF1"/>
    <w:rsid w:val="00455439"/>
    <w:rsid w:val="004565D9"/>
    <w:rsid w:val="004602CF"/>
    <w:rsid w:val="0046042F"/>
    <w:rsid w:val="00460886"/>
    <w:rsid w:val="00471292"/>
    <w:rsid w:val="0049035F"/>
    <w:rsid w:val="0049138F"/>
    <w:rsid w:val="00495E57"/>
    <w:rsid w:val="00497AAE"/>
    <w:rsid w:val="004A03EE"/>
    <w:rsid w:val="004A4DA1"/>
    <w:rsid w:val="004A7BB5"/>
    <w:rsid w:val="004B22F7"/>
    <w:rsid w:val="004B5BD6"/>
    <w:rsid w:val="004B687B"/>
    <w:rsid w:val="004C4B11"/>
    <w:rsid w:val="004C6256"/>
    <w:rsid w:val="004D0530"/>
    <w:rsid w:val="004E64F1"/>
    <w:rsid w:val="004F2FCA"/>
    <w:rsid w:val="004F578E"/>
    <w:rsid w:val="004F5F44"/>
    <w:rsid w:val="00514DD5"/>
    <w:rsid w:val="00520D50"/>
    <w:rsid w:val="005257A6"/>
    <w:rsid w:val="00527D86"/>
    <w:rsid w:val="00532AA2"/>
    <w:rsid w:val="00535565"/>
    <w:rsid w:val="00536A9A"/>
    <w:rsid w:val="00546814"/>
    <w:rsid w:val="00575B6B"/>
    <w:rsid w:val="00595786"/>
    <w:rsid w:val="005A67F9"/>
    <w:rsid w:val="005B5E95"/>
    <w:rsid w:val="005C0427"/>
    <w:rsid w:val="005C2E73"/>
    <w:rsid w:val="005C3A74"/>
    <w:rsid w:val="005C6253"/>
    <w:rsid w:val="005D188F"/>
    <w:rsid w:val="005D7873"/>
    <w:rsid w:val="00610E3A"/>
    <w:rsid w:val="00615AE5"/>
    <w:rsid w:val="00615CA2"/>
    <w:rsid w:val="006171A5"/>
    <w:rsid w:val="00632F16"/>
    <w:rsid w:val="00632FBE"/>
    <w:rsid w:val="0064092D"/>
    <w:rsid w:val="00645748"/>
    <w:rsid w:val="006726C5"/>
    <w:rsid w:val="00672F9F"/>
    <w:rsid w:val="00676F3B"/>
    <w:rsid w:val="00693D05"/>
    <w:rsid w:val="00696155"/>
    <w:rsid w:val="006B41DF"/>
    <w:rsid w:val="006C155B"/>
    <w:rsid w:val="006C7E3A"/>
    <w:rsid w:val="006D4D5B"/>
    <w:rsid w:val="006D69CD"/>
    <w:rsid w:val="006D7A63"/>
    <w:rsid w:val="006E1EF1"/>
    <w:rsid w:val="006E395F"/>
    <w:rsid w:val="006E7B40"/>
    <w:rsid w:val="006F3780"/>
    <w:rsid w:val="006F58B9"/>
    <w:rsid w:val="006F6F25"/>
    <w:rsid w:val="00704A09"/>
    <w:rsid w:val="007053BB"/>
    <w:rsid w:val="00723498"/>
    <w:rsid w:val="0072757B"/>
    <w:rsid w:val="00732F18"/>
    <w:rsid w:val="0073304D"/>
    <w:rsid w:val="0074624E"/>
    <w:rsid w:val="00747C65"/>
    <w:rsid w:val="00750A19"/>
    <w:rsid w:val="007770FA"/>
    <w:rsid w:val="00777E9F"/>
    <w:rsid w:val="00781872"/>
    <w:rsid w:val="00782031"/>
    <w:rsid w:val="0078223B"/>
    <w:rsid w:val="00782998"/>
    <w:rsid w:val="00791755"/>
    <w:rsid w:val="0079531E"/>
    <w:rsid w:val="007A0136"/>
    <w:rsid w:val="007C0F03"/>
    <w:rsid w:val="007D6BA7"/>
    <w:rsid w:val="007E0AD5"/>
    <w:rsid w:val="007E3802"/>
    <w:rsid w:val="007E7227"/>
    <w:rsid w:val="007F0C7D"/>
    <w:rsid w:val="007F6EB9"/>
    <w:rsid w:val="00810963"/>
    <w:rsid w:val="00811E20"/>
    <w:rsid w:val="0081614F"/>
    <w:rsid w:val="00825CC0"/>
    <w:rsid w:val="008329F1"/>
    <w:rsid w:val="00832E5D"/>
    <w:rsid w:val="00837FEC"/>
    <w:rsid w:val="008632AB"/>
    <w:rsid w:val="00866E42"/>
    <w:rsid w:val="0087330E"/>
    <w:rsid w:val="00885CBD"/>
    <w:rsid w:val="00894B76"/>
    <w:rsid w:val="008A10EF"/>
    <w:rsid w:val="008A2B61"/>
    <w:rsid w:val="008A6A18"/>
    <w:rsid w:val="008A7219"/>
    <w:rsid w:val="008B03A3"/>
    <w:rsid w:val="008C7167"/>
    <w:rsid w:val="008C7979"/>
    <w:rsid w:val="008D01DE"/>
    <w:rsid w:val="008D2837"/>
    <w:rsid w:val="008D2A37"/>
    <w:rsid w:val="008E2194"/>
    <w:rsid w:val="008E79C2"/>
    <w:rsid w:val="008F607F"/>
    <w:rsid w:val="00900690"/>
    <w:rsid w:val="00903F5B"/>
    <w:rsid w:val="00904274"/>
    <w:rsid w:val="00905928"/>
    <w:rsid w:val="0090767A"/>
    <w:rsid w:val="00911E8C"/>
    <w:rsid w:val="00927C98"/>
    <w:rsid w:val="00931AA3"/>
    <w:rsid w:val="00934936"/>
    <w:rsid w:val="00940976"/>
    <w:rsid w:val="00947240"/>
    <w:rsid w:val="00956AA5"/>
    <w:rsid w:val="0097634B"/>
    <w:rsid w:val="00980558"/>
    <w:rsid w:val="0098158F"/>
    <w:rsid w:val="009852B9"/>
    <w:rsid w:val="00996930"/>
    <w:rsid w:val="009B0CB4"/>
    <w:rsid w:val="009B3A7A"/>
    <w:rsid w:val="009C530C"/>
    <w:rsid w:val="009E33DA"/>
    <w:rsid w:val="009E5697"/>
    <w:rsid w:val="009E7E0C"/>
    <w:rsid w:val="009F6A6E"/>
    <w:rsid w:val="009F7044"/>
    <w:rsid w:val="00A012DE"/>
    <w:rsid w:val="00A12AA4"/>
    <w:rsid w:val="00A1651F"/>
    <w:rsid w:val="00A266F8"/>
    <w:rsid w:val="00A37C7A"/>
    <w:rsid w:val="00A435DD"/>
    <w:rsid w:val="00A451E6"/>
    <w:rsid w:val="00A72F18"/>
    <w:rsid w:val="00A742E2"/>
    <w:rsid w:val="00A81EFE"/>
    <w:rsid w:val="00A8299C"/>
    <w:rsid w:val="00A82D16"/>
    <w:rsid w:val="00A906F9"/>
    <w:rsid w:val="00A93AAF"/>
    <w:rsid w:val="00AA0325"/>
    <w:rsid w:val="00AA7AE0"/>
    <w:rsid w:val="00AB6F8C"/>
    <w:rsid w:val="00AC5B31"/>
    <w:rsid w:val="00AD059B"/>
    <w:rsid w:val="00AE3066"/>
    <w:rsid w:val="00AE4063"/>
    <w:rsid w:val="00AE6391"/>
    <w:rsid w:val="00B02CC3"/>
    <w:rsid w:val="00B12EF7"/>
    <w:rsid w:val="00B16072"/>
    <w:rsid w:val="00B16EA9"/>
    <w:rsid w:val="00B170D9"/>
    <w:rsid w:val="00B24CA2"/>
    <w:rsid w:val="00B2552D"/>
    <w:rsid w:val="00B30677"/>
    <w:rsid w:val="00B33D9E"/>
    <w:rsid w:val="00B42DEE"/>
    <w:rsid w:val="00B52445"/>
    <w:rsid w:val="00B52539"/>
    <w:rsid w:val="00B52833"/>
    <w:rsid w:val="00B56D13"/>
    <w:rsid w:val="00B7349F"/>
    <w:rsid w:val="00B85893"/>
    <w:rsid w:val="00B8781E"/>
    <w:rsid w:val="00B9102A"/>
    <w:rsid w:val="00B928AE"/>
    <w:rsid w:val="00B9563E"/>
    <w:rsid w:val="00BA0C0F"/>
    <w:rsid w:val="00BB3A20"/>
    <w:rsid w:val="00BD5E83"/>
    <w:rsid w:val="00BE0B70"/>
    <w:rsid w:val="00BF0AF9"/>
    <w:rsid w:val="00BF31FA"/>
    <w:rsid w:val="00BF6D3F"/>
    <w:rsid w:val="00C06947"/>
    <w:rsid w:val="00C10BF1"/>
    <w:rsid w:val="00C13BAC"/>
    <w:rsid w:val="00C42F9B"/>
    <w:rsid w:val="00C46177"/>
    <w:rsid w:val="00C54870"/>
    <w:rsid w:val="00C554C8"/>
    <w:rsid w:val="00C61ED6"/>
    <w:rsid w:val="00C62BA2"/>
    <w:rsid w:val="00C728E1"/>
    <w:rsid w:val="00C73E86"/>
    <w:rsid w:val="00C90F38"/>
    <w:rsid w:val="00C9284A"/>
    <w:rsid w:val="00C95098"/>
    <w:rsid w:val="00CA4027"/>
    <w:rsid w:val="00CB6124"/>
    <w:rsid w:val="00CB76A1"/>
    <w:rsid w:val="00CD02C5"/>
    <w:rsid w:val="00CD33A6"/>
    <w:rsid w:val="00CD646C"/>
    <w:rsid w:val="00CE02AA"/>
    <w:rsid w:val="00CE02D8"/>
    <w:rsid w:val="00CE14CE"/>
    <w:rsid w:val="00CE15DC"/>
    <w:rsid w:val="00D105DB"/>
    <w:rsid w:val="00D13855"/>
    <w:rsid w:val="00D16184"/>
    <w:rsid w:val="00D23C4B"/>
    <w:rsid w:val="00D25795"/>
    <w:rsid w:val="00D263FC"/>
    <w:rsid w:val="00D30F82"/>
    <w:rsid w:val="00D479C7"/>
    <w:rsid w:val="00D5412E"/>
    <w:rsid w:val="00D61DBC"/>
    <w:rsid w:val="00D633F9"/>
    <w:rsid w:val="00D648F5"/>
    <w:rsid w:val="00D678A5"/>
    <w:rsid w:val="00D770AE"/>
    <w:rsid w:val="00D87148"/>
    <w:rsid w:val="00D96B55"/>
    <w:rsid w:val="00DD210D"/>
    <w:rsid w:val="00DD36C4"/>
    <w:rsid w:val="00DE0370"/>
    <w:rsid w:val="00DE6136"/>
    <w:rsid w:val="00DF429A"/>
    <w:rsid w:val="00DF7B02"/>
    <w:rsid w:val="00E23691"/>
    <w:rsid w:val="00E26416"/>
    <w:rsid w:val="00E31F36"/>
    <w:rsid w:val="00E328DE"/>
    <w:rsid w:val="00E33A26"/>
    <w:rsid w:val="00E34A52"/>
    <w:rsid w:val="00E4076D"/>
    <w:rsid w:val="00E40DFC"/>
    <w:rsid w:val="00E44BDC"/>
    <w:rsid w:val="00E52A2A"/>
    <w:rsid w:val="00E531AF"/>
    <w:rsid w:val="00E54E2E"/>
    <w:rsid w:val="00E67E23"/>
    <w:rsid w:val="00E80D61"/>
    <w:rsid w:val="00E8578A"/>
    <w:rsid w:val="00E95E88"/>
    <w:rsid w:val="00EA048E"/>
    <w:rsid w:val="00EB0CB0"/>
    <w:rsid w:val="00EB3FC3"/>
    <w:rsid w:val="00EB7701"/>
    <w:rsid w:val="00EE09E5"/>
    <w:rsid w:val="00F05EFD"/>
    <w:rsid w:val="00F06F33"/>
    <w:rsid w:val="00F37181"/>
    <w:rsid w:val="00F4094C"/>
    <w:rsid w:val="00F44A3A"/>
    <w:rsid w:val="00F476DD"/>
    <w:rsid w:val="00F52BCC"/>
    <w:rsid w:val="00F736F8"/>
    <w:rsid w:val="00F77465"/>
    <w:rsid w:val="00F924FF"/>
    <w:rsid w:val="00FA12E8"/>
    <w:rsid w:val="00FA3646"/>
    <w:rsid w:val="00FA69EF"/>
    <w:rsid w:val="00FB3811"/>
    <w:rsid w:val="00FB5FFA"/>
    <w:rsid w:val="00FB7CD7"/>
    <w:rsid w:val="00FD7613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53"/>
      </w:tabs>
      <w:spacing w:before="12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left" w:pos="4253"/>
      </w:tabs>
      <w:spacing w:before="120"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9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4253"/>
      </w:tabs>
      <w:spacing w:before="120" w:line="360" w:lineRule="auto"/>
      <w:jc w:val="center"/>
      <w:outlineLvl w:val="5"/>
    </w:pPr>
    <w:rPr>
      <w:b/>
      <w:sz w:val="22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pPr>
      <w:spacing w:before="120" w:line="360" w:lineRule="auto"/>
      <w:jc w:val="both"/>
    </w:pPr>
  </w:style>
  <w:style w:type="paragraph" w:styleId="Ttulo">
    <w:name w:val="Title"/>
    <w:basedOn w:val="Normal"/>
    <w:qFormat/>
    <w:pPr>
      <w:tabs>
        <w:tab w:val="left" w:pos="4253"/>
      </w:tabs>
      <w:spacing w:before="120" w:line="360" w:lineRule="auto"/>
      <w:jc w:val="center"/>
      <w:outlineLvl w:val="0"/>
    </w:pPr>
    <w:rPr>
      <w:b/>
      <w:sz w:val="22"/>
    </w:rPr>
  </w:style>
  <w:style w:type="paragraph" w:styleId="Recuodecorpodetexto">
    <w:name w:val="Body Text Indent"/>
    <w:basedOn w:val="Normal"/>
    <w:pPr>
      <w:tabs>
        <w:tab w:val="left" w:pos="0"/>
      </w:tabs>
      <w:spacing w:before="120" w:line="360" w:lineRule="auto"/>
      <w:ind w:left="4260" w:hanging="4260"/>
      <w:jc w:val="both"/>
    </w:pPr>
    <w:rPr>
      <w:sz w:val="22"/>
    </w:rPr>
  </w:style>
  <w:style w:type="paragraph" w:styleId="Corpodetexto2">
    <w:name w:val="Body Text 2"/>
    <w:basedOn w:val="Normal"/>
    <w:pPr>
      <w:tabs>
        <w:tab w:val="left" w:pos="4253"/>
      </w:tabs>
      <w:spacing w:before="120" w:line="360" w:lineRule="auto"/>
      <w:jc w:val="both"/>
    </w:pPr>
    <w:rPr>
      <w:sz w:val="22"/>
      <w:szCs w:val="19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4253"/>
      </w:tabs>
      <w:spacing w:before="120" w:line="360" w:lineRule="auto"/>
      <w:ind w:firstLine="2268"/>
      <w:jc w:val="both"/>
    </w:pPr>
    <w:rPr>
      <w:sz w:val="22"/>
      <w:szCs w:val="19"/>
    </w:rPr>
  </w:style>
  <w:style w:type="character" w:styleId="Nmerodelinha">
    <w:name w:val="line number"/>
    <w:basedOn w:val="Fontepargpadro"/>
  </w:style>
  <w:style w:type="character" w:styleId="Hyperlink">
    <w:name w:val="Hyperlink"/>
    <w:basedOn w:val="Fontepargpadro"/>
    <w:rsid w:val="002F4F40"/>
    <w:rPr>
      <w:color w:val="0000FF"/>
      <w:u w:val="single"/>
    </w:rPr>
  </w:style>
  <w:style w:type="table" w:styleId="Tabelacomgrade">
    <w:name w:val="Table Grid"/>
    <w:basedOn w:val="Tabelanormal"/>
    <w:rsid w:val="00F7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decorpodetexto21">
    <w:name w:val="Recuo de corpo de texto 21"/>
    <w:basedOn w:val="Normal"/>
    <w:rsid w:val="00CB6124"/>
    <w:pPr>
      <w:spacing w:after="120" w:line="480" w:lineRule="auto"/>
      <w:ind w:left="283"/>
    </w:pPr>
    <w:rPr>
      <w:rFonts w:ascii="Arial" w:hAnsi="Arial"/>
      <w:sz w:val="22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6F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6F9"/>
  </w:style>
  <w:style w:type="character" w:styleId="Refdenotaderodap">
    <w:name w:val="footnote reference"/>
    <w:basedOn w:val="Fontepargpadro"/>
    <w:uiPriority w:val="99"/>
    <w:semiHidden/>
    <w:unhideWhenUsed/>
    <w:rsid w:val="00A906F9"/>
    <w:rPr>
      <w:vertAlign w:val="superscript"/>
    </w:rPr>
  </w:style>
  <w:style w:type="paragraph" w:styleId="SemEspaamento">
    <w:name w:val="No Spacing"/>
    <w:uiPriority w:val="1"/>
    <w:qFormat/>
    <w:rsid w:val="00A72F1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9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9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0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53"/>
      </w:tabs>
      <w:spacing w:before="12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left" w:pos="4253"/>
      </w:tabs>
      <w:spacing w:before="120" w:line="360" w:lineRule="auto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9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tabs>
        <w:tab w:val="left" w:pos="4253"/>
      </w:tabs>
      <w:spacing w:before="120" w:line="360" w:lineRule="auto"/>
      <w:jc w:val="center"/>
      <w:outlineLvl w:val="5"/>
    </w:pPr>
    <w:rPr>
      <w:b/>
      <w:sz w:val="22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pPr>
      <w:spacing w:before="120" w:line="360" w:lineRule="auto"/>
      <w:jc w:val="both"/>
    </w:pPr>
  </w:style>
  <w:style w:type="paragraph" w:styleId="Ttulo">
    <w:name w:val="Title"/>
    <w:basedOn w:val="Normal"/>
    <w:qFormat/>
    <w:pPr>
      <w:tabs>
        <w:tab w:val="left" w:pos="4253"/>
      </w:tabs>
      <w:spacing w:before="120" w:line="360" w:lineRule="auto"/>
      <w:jc w:val="center"/>
      <w:outlineLvl w:val="0"/>
    </w:pPr>
    <w:rPr>
      <w:b/>
      <w:sz w:val="22"/>
    </w:rPr>
  </w:style>
  <w:style w:type="paragraph" w:styleId="Recuodecorpodetexto">
    <w:name w:val="Body Text Indent"/>
    <w:basedOn w:val="Normal"/>
    <w:pPr>
      <w:tabs>
        <w:tab w:val="left" w:pos="0"/>
      </w:tabs>
      <w:spacing w:before="120" w:line="360" w:lineRule="auto"/>
      <w:ind w:left="4260" w:hanging="4260"/>
      <w:jc w:val="both"/>
    </w:pPr>
    <w:rPr>
      <w:sz w:val="22"/>
    </w:rPr>
  </w:style>
  <w:style w:type="paragraph" w:styleId="Corpodetexto2">
    <w:name w:val="Body Text 2"/>
    <w:basedOn w:val="Normal"/>
    <w:pPr>
      <w:tabs>
        <w:tab w:val="left" w:pos="4253"/>
      </w:tabs>
      <w:spacing w:before="120" w:line="360" w:lineRule="auto"/>
      <w:jc w:val="both"/>
    </w:pPr>
    <w:rPr>
      <w:sz w:val="22"/>
      <w:szCs w:val="19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4253"/>
      </w:tabs>
      <w:spacing w:before="120" w:line="360" w:lineRule="auto"/>
      <w:ind w:firstLine="2268"/>
      <w:jc w:val="both"/>
    </w:pPr>
    <w:rPr>
      <w:sz w:val="22"/>
      <w:szCs w:val="19"/>
    </w:rPr>
  </w:style>
  <w:style w:type="character" w:styleId="Nmerodelinha">
    <w:name w:val="line number"/>
    <w:basedOn w:val="Fontepargpadro"/>
  </w:style>
  <w:style w:type="character" w:styleId="Hyperlink">
    <w:name w:val="Hyperlink"/>
    <w:basedOn w:val="Fontepargpadro"/>
    <w:rsid w:val="002F4F40"/>
    <w:rPr>
      <w:color w:val="0000FF"/>
      <w:u w:val="single"/>
    </w:rPr>
  </w:style>
  <w:style w:type="table" w:styleId="Tabelacomgrade">
    <w:name w:val="Table Grid"/>
    <w:basedOn w:val="Tabelanormal"/>
    <w:rsid w:val="00F7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decorpodetexto21">
    <w:name w:val="Recuo de corpo de texto 21"/>
    <w:basedOn w:val="Normal"/>
    <w:rsid w:val="00CB6124"/>
    <w:pPr>
      <w:spacing w:after="120" w:line="480" w:lineRule="auto"/>
      <w:ind w:left="283"/>
    </w:pPr>
    <w:rPr>
      <w:rFonts w:ascii="Arial" w:hAnsi="Arial"/>
      <w:sz w:val="22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6F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6F9"/>
  </w:style>
  <w:style w:type="character" w:styleId="Refdenotaderodap">
    <w:name w:val="footnote reference"/>
    <w:basedOn w:val="Fontepargpadro"/>
    <w:uiPriority w:val="99"/>
    <w:semiHidden/>
    <w:unhideWhenUsed/>
    <w:rsid w:val="00A906F9"/>
    <w:rPr>
      <w:vertAlign w:val="superscript"/>
    </w:rPr>
  </w:style>
  <w:style w:type="paragraph" w:styleId="SemEspaamento">
    <w:name w:val="No Spacing"/>
    <w:uiPriority w:val="1"/>
    <w:qFormat/>
    <w:rsid w:val="00A72F1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9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9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C851-D027-4457-B2C5-D90C30A5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10</Pages>
  <Words>3746</Words>
  <Characters>20230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E PARECER</vt:lpstr>
    </vt:vector>
  </TitlesOfParts>
  <Company>DPM</Company>
  <LinksUpToDate>false</LinksUpToDate>
  <CharactersWithSpaces>23929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</dc:title>
  <dc:creator>Julio</dc:creator>
  <cp:lastModifiedBy>Usuario</cp:lastModifiedBy>
  <cp:revision>15</cp:revision>
  <cp:lastPrinted>2017-01-27T14:51:00Z</cp:lastPrinted>
  <dcterms:created xsi:type="dcterms:W3CDTF">2017-01-25T17:58:00Z</dcterms:created>
  <dcterms:modified xsi:type="dcterms:W3CDTF">2017-01-27T14:54:00Z</dcterms:modified>
</cp:coreProperties>
</file>